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EA3BD" w14:textId="77777777" w:rsidR="004B6DCE" w:rsidRPr="00EC0E62" w:rsidRDefault="004B6DCE" w:rsidP="004B6DCE">
      <w:pPr>
        <w:jc w:val="center"/>
        <w:rPr>
          <w:b/>
          <w:bCs/>
        </w:rPr>
      </w:pPr>
      <w:r w:rsidRPr="5133981B">
        <w:rPr>
          <w:b/>
          <w:bCs/>
        </w:rPr>
        <w:t>Call for Submissions:</w:t>
      </w:r>
    </w:p>
    <w:p w14:paraId="64FC6B84" w14:textId="77777777" w:rsidR="004B6DCE" w:rsidRPr="00EC0E62" w:rsidRDefault="004B6DCE" w:rsidP="004B6DCE">
      <w:pPr>
        <w:jc w:val="center"/>
        <w:rPr>
          <w:b/>
          <w:bCs/>
        </w:rPr>
      </w:pPr>
      <w:r w:rsidRPr="5133981B">
        <w:rPr>
          <w:b/>
          <w:bCs/>
        </w:rPr>
        <w:t xml:space="preserve"> JTED Special Issue on Assessment of Transformative Learning</w:t>
      </w:r>
    </w:p>
    <w:p w14:paraId="42B58956" w14:textId="77777777" w:rsidR="004B6DCE" w:rsidRDefault="004B6DCE" w:rsidP="004B6DCE">
      <w:pPr>
        <w:jc w:val="center"/>
        <w:rPr>
          <w:b/>
          <w:bCs/>
        </w:rPr>
      </w:pPr>
    </w:p>
    <w:p w14:paraId="49626EAD" w14:textId="77777777" w:rsidR="004B6DCE" w:rsidRDefault="004B6DCE" w:rsidP="004B6DCE">
      <w:pPr>
        <w:rPr>
          <w:color w:val="auto"/>
        </w:rPr>
      </w:pPr>
      <w:r w:rsidRPr="5133981B">
        <w:rPr>
          <w:b/>
          <w:bCs/>
          <w:color w:val="auto"/>
        </w:rPr>
        <w:t xml:space="preserve">Guest editors: </w:t>
      </w:r>
      <w:r w:rsidRPr="5133981B">
        <w:rPr>
          <w:color w:val="auto"/>
        </w:rPr>
        <w:t>John Dirkx (Michigan State University) and Kris Acheson (Purdue University)</w:t>
      </w:r>
    </w:p>
    <w:p w14:paraId="603CB2CB" w14:textId="77777777" w:rsidR="004B6DCE" w:rsidRDefault="004B6DCE" w:rsidP="004B6DCE">
      <w:pPr>
        <w:rPr>
          <w:color w:val="auto"/>
        </w:rPr>
      </w:pPr>
    </w:p>
    <w:p w14:paraId="13A40EAF" w14:textId="1630C7EF" w:rsidR="004B6DCE" w:rsidRDefault="004B6DCE" w:rsidP="00065D4E">
      <w:r w:rsidRPr="5133981B">
        <w:rPr>
          <w:b/>
          <w:bCs/>
          <w:color w:val="auto"/>
        </w:rPr>
        <w:t>Justification:</w:t>
      </w:r>
      <w:r w:rsidRPr="00C94AAA">
        <w:rPr>
          <w:color w:val="auto"/>
        </w:rPr>
        <w:t xml:space="preserve"> </w:t>
      </w:r>
      <w:r>
        <w:rPr>
          <w:color w:val="auto"/>
        </w:rPr>
        <w:t>We are living in a</w:t>
      </w:r>
      <w:r w:rsidRPr="5133981B">
        <w:t xml:space="preserve"> rapidly-changing, globalized world</w:t>
      </w:r>
      <w:r>
        <w:t xml:space="preserve"> that</w:t>
      </w:r>
      <w:r w:rsidRPr="5133981B">
        <w:t xml:space="preserve"> demand</w:t>
      </w:r>
      <w:r>
        <w:t xml:space="preserve">s new ways to think about learning experiences in higher and adult education. The pedagogical literature in these fields increasingly emphasizes two megatrends: the importance of deep or transformative learning experiences and the need to clearly assess and document the learning experiences and outcomes associated with these experiences. Increasingly, scholars and practitioners stress </w:t>
      </w:r>
      <w:r w:rsidRPr="5133981B">
        <w:t>so-called “transformative,</w:t>
      </w:r>
      <w:r>
        <w:t>” or</w:t>
      </w:r>
      <w:r w:rsidRPr="5133981B">
        <w:t xml:space="preserve"> high-impact educational interventions</w:t>
      </w:r>
      <w:r>
        <w:t>.</w:t>
      </w:r>
      <w:r w:rsidRPr="007F0EDB">
        <w:t xml:space="preserve"> </w:t>
      </w:r>
      <w:r>
        <w:t>The emphasis on transformative learning reflect</w:t>
      </w:r>
      <w:r w:rsidR="00065D4E">
        <w:t xml:space="preserve">s </w:t>
      </w:r>
      <w:r>
        <w:t xml:space="preserve">those experiences that </w:t>
      </w:r>
      <w:r w:rsidRPr="5133981B">
        <w:t>seem to have a profound effect on an adult’s sense of self and</w:t>
      </w:r>
      <w:r>
        <w:t xml:space="preserve"> his or her</w:t>
      </w:r>
      <w:r w:rsidRPr="5133981B">
        <w:t xml:space="preserve"> relationships to the broader worl</w:t>
      </w:r>
      <w:r>
        <w:t xml:space="preserve">d, such as </w:t>
      </w:r>
      <w:r w:rsidRPr="5133981B">
        <w:t xml:space="preserve">service learning, education abroad, multicultural coursework, </w:t>
      </w:r>
      <w:r>
        <w:t xml:space="preserve">diversity training, </w:t>
      </w:r>
      <w:r w:rsidRPr="5133981B">
        <w:t>community engagement, internships</w:t>
      </w:r>
      <w:r>
        <w:t>, and certain forms of work-related learning.</w:t>
      </w:r>
      <w:r w:rsidRPr="00FD0123">
        <w:rPr>
          <w:color w:val="auto"/>
        </w:rPr>
        <w:t xml:space="preserve"> </w:t>
      </w:r>
      <w:r>
        <w:t xml:space="preserve">The second megatrend reflecting this emphasis on transformative learning is the </w:t>
      </w:r>
      <w:r w:rsidRPr="5133981B">
        <w:t>need to assess the outcomes and impacts of such learning.</w:t>
      </w:r>
      <w:r>
        <w:t xml:space="preserve"> </w:t>
      </w:r>
      <w:r w:rsidRPr="00C94AAA">
        <w:rPr>
          <w:color w:val="auto"/>
        </w:rPr>
        <w:t>Over</w:t>
      </w:r>
      <w:r w:rsidR="00065D4E">
        <w:t xml:space="preserve"> the last 40 years T</w:t>
      </w:r>
      <w:r w:rsidRPr="5133981B">
        <w:t xml:space="preserve">ransformative Learning theory has </w:t>
      </w:r>
      <w:r>
        <w:t xml:space="preserve">emerged </w:t>
      </w:r>
      <w:r w:rsidRPr="5133981B">
        <w:t>as a framework for discussion of deep learning in higher and adult education. While it is encouraging that transformation is recognized as an imperative across many disciplines, the term “transformative” is not consistently used with attention to the transformative learning</w:t>
      </w:r>
      <w:r>
        <w:t xml:space="preserve"> </w:t>
      </w:r>
      <w:r w:rsidRPr="5133981B">
        <w:t>(TL) theoretical framework. Interventions themselves are often designed, implemented, and evaluated with littl</w:t>
      </w:r>
      <w:r w:rsidR="00065D4E">
        <w:t>e awareness of the TL knowledge-</w:t>
      </w:r>
      <w:r w:rsidRPr="5133981B">
        <w:t>base and community of practice</w:t>
      </w:r>
      <w:r>
        <w:t xml:space="preserve">. </w:t>
      </w:r>
      <w:r w:rsidRPr="5133981B">
        <w:t>Although learners and educators alike frequently describe a learning e</w:t>
      </w:r>
      <w:r w:rsidR="00065D4E">
        <w:t xml:space="preserve">xperience as “transformative,” </w:t>
      </w:r>
      <w:r w:rsidRPr="5133981B">
        <w:t xml:space="preserve">these claims cannot be taken at face value; rather, transformation must be measured. </w:t>
      </w:r>
    </w:p>
    <w:p w14:paraId="17D4097F" w14:textId="3ACCC556" w:rsidR="004B6DCE" w:rsidRDefault="004B6DCE" w:rsidP="004B6DCE">
      <w:pPr>
        <w:ind w:firstLine="720"/>
      </w:pPr>
      <w:r w:rsidRPr="5133981B">
        <w:t>Despite th</w:t>
      </w:r>
      <w:r w:rsidR="00065D4E">
        <w:t>e</w:t>
      </w:r>
      <w:r w:rsidRPr="5133981B">
        <w:t xml:space="preserve"> rich body of literature</w:t>
      </w:r>
      <w:r w:rsidR="00065D4E" w:rsidRPr="00065D4E">
        <w:t xml:space="preserve"> </w:t>
      </w:r>
      <w:r w:rsidR="00065D4E" w:rsidRPr="5133981B">
        <w:t>clarify</w:t>
      </w:r>
      <w:r w:rsidR="00065D4E">
        <w:t>ing</w:t>
      </w:r>
      <w:r w:rsidR="00065D4E" w:rsidRPr="5133981B">
        <w:t xml:space="preserve"> what constitutes</w:t>
      </w:r>
      <w:r w:rsidR="00065D4E">
        <w:t xml:space="preserve"> transformative learning</w:t>
      </w:r>
      <w:r w:rsidRPr="5133981B">
        <w:t xml:space="preserve">, however, we lack the evaluative tools necessary to document the processes and outcomes of TL effectively. Both qualitative and quantitative methodologies are called for – qualitative to address the complexity and depth of TL and to allow for grounded theory generation of new understandings, and quantitative for efficiency in program evaluation and for the capacity to present generalized findings to the knowledge community. </w:t>
      </w:r>
      <w:r w:rsidR="00065D4E">
        <w:t>Because t</w:t>
      </w:r>
      <w:r w:rsidRPr="5133981B">
        <w:t>he array of s</w:t>
      </w:r>
      <w:r w:rsidR="00065D4E">
        <w:t xml:space="preserve">cholarly work in TL assessment </w:t>
      </w:r>
      <w:r w:rsidRPr="5133981B">
        <w:t>has been meager</w:t>
      </w:r>
      <w:r w:rsidR="00065D4E">
        <w:t xml:space="preserve"> to date, the f</w:t>
      </w:r>
      <w:r w:rsidRPr="5133981B">
        <w:t xml:space="preserve">oundations </w:t>
      </w:r>
      <w:r w:rsidR="00065D4E">
        <w:t xml:space="preserve">that </w:t>
      </w:r>
      <w:r w:rsidRPr="5133981B">
        <w:t xml:space="preserve">have begun to be laid for the assessment of TL desperately need further development. </w:t>
      </w:r>
    </w:p>
    <w:p w14:paraId="3C7D1046" w14:textId="77777777" w:rsidR="004B6DCE" w:rsidRDefault="004B6DCE" w:rsidP="004B6DCE">
      <w:pPr>
        <w:ind w:firstLine="720"/>
      </w:pPr>
    </w:p>
    <w:p w14:paraId="24E61DAE" w14:textId="43B61191" w:rsidR="004B6DCE" w:rsidRDefault="004B6DCE" w:rsidP="004B6DCE">
      <w:r w:rsidRPr="5133981B">
        <w:rPr>
          <w:b/>
          <w:bCs/>
          <w:color w:val="auto"/>
        </w:rPr>
        <w:t xml:space="preserve">The aim of the special issue: </w:t>
      </w:r>
      <w:r w:rsidR="00065D4E" w:rsidRPr="5133981B">
        <w:t>In spite of</w:t>
      </w:r>
      <w:r w:rsidRPr="5133981B">
        <w:t xml:space="preserve"> decades of important theoretical work on TL theory and its applications to myriad contexts, the discipline has struggled to operationalize the theory in such a way that transformative outcomes can be effectively documented. This special issue of the </w:t>
      </w:r>
      <w:r w:rsidRPr="5133981B">
        <w:rPr>
          <w:i/>
          <w:iCs/>
        </w:rPr>
        <w:t>Journal of Transformative Education</w:t>
      </w:r>
      <w:r w:rsidRPr="5133981B">
        <w:t xml:space="preserve"> aims to address the dilemma of the need for assessment and the lack of assessment tools specifically for transformative learning by critiquing the current state of the field, presenting new approaches to operationalizing TL theory, and suggesting new directions for research.</w:t>
      </w:r>
    </w:p>
    <w:p w14:paraId="78D80B48" w14:textId="476D8209" w:rsidR="1A222DBE" w:rsidRDefault="1A222DBE" w:rsidP="5133981B">
      <w:pPr>
        <w:rPr>
          <w:color w:val="auto"/>
        </w:rPr>
      </w:pPr>
    </w:p>
    <w:p w14:paraId="6B07CB18" w14:textId="5102F380" w:rsidR="5133981B" w:rsidRDefault="5133981B" w:rsidP="5133981B">
      <w:pPr>
        <w:rPr>
          <w:color w:val="auto"/>
        </w:rPr>
      </w:pPr>
      <w:r w:rsidRPr="5133981B">
        <w:rPr>
          <w:b/>
          <w:bCs/>
          <w:color w:val="auto"/>
        </w:rPr>
        <w:t xml:space="preserve">Characteristics of the special issue: </w:t>
      </w:r>
      <w:r w:rsidR="00065D4E">
        <w:rPr>
          <w:color w:val="auto"/>
        </w:rPr>
        <w:t>In addition to an introduction and response from the guest editors, t</w:t>
      </w:r>
      <w:r w:rsidRPr="5133981B">
        <w:rPr>
          <w:color w:val="auto"/>
        </w:rPr>
        <w:t xml:space="preserve">he special issue </w:t>
      </w:r>
      <w:r w:rsidR="00065D4E">
        <w:rPr>
          <w:color w:val="auto"/>
        </w:rPr>
        <w:t>will</w:t>
      </w:r>
      <w:r w:rsidRPr="5133981B">
        <w:rPr>
          <w:color w:val="auto"/>
        </w:rPr>
        <w:t xml:space="preserve"> include up to 7 regular papers (6-8000 words). Key themes we intend to address in this issue </w:t>
      </w:r>
      <w:r w:rsidR="00065D4E">
        <w:rPr>
          <w:color w:val="auto"/>
        </w:rPr>
        <w:t>are</w:t>
      </w:r>
      <w:r w:rsidRPr="5133981B">
        <w:rPr>
          <w:color w:val="auto"/>
        </w:rPr>
        <w:t>:</w:t>
      </w:r>
    </w:p>
    <w:p w14:paraId="7FC2E9E3" w14:textId="01329DB6" w:rsidR="5133981B" w:rsidRDefault="5133981B" w:rsidP="5133981B">
      <w:pPr>
        <w:pStyle w:val="ListParagraph"/>
        <w:numPr>
          <w:ilvl w:val="0"/>
          <w:numId w:val="1"/>
        </w:numPr>
        <w:rPr>
          <w:color w:val="auto"/>
        </w:rPr>
      </w:pPr>
      <w:r w:rsidRPr="5133981B">
        <w:rPr>
          <w:color w:val="auto"/>
        </w:rPr>
        <w:t>TL Theory – critical review of research and theory in Transformative Learning pertinent to the current project</w:t>
      </w:r>
    </w:p>
    <w:p w14:paraId="08B45F7B" w14:textId="4DC589CF" w:rsidR="5133981B" w:rsidRDefault="5133981B" w:rsidP="5133981B">
      <w:pPr>
        <w:pStyle w:val="ListParagraph"/>
        <w:numPr>
          <w:ilvl w:val="0"/>
          <w:numId w:val="1"/>
        </w:numPr>
        <w:rPr>
          <w:color w:val="auto"/>
        </w:rPr>
      </w:pPr>
      <w:r w:rsidRPr="5133981B">
        <w:rPr>
          <w:color w:val="auto"/>
        </w:rPr>
        <w:t xml:space="preserve">History of TL Assessment – critical analysis of existing TL instruments with an emphasis on </w:t>
      </w:r>
      <w:r w:rsidR="004B6DCE">
        <w:rPr>
          <w:color w:val="auto"/>
        </w:rPr>
        <w:t xml:space="preserve">important </w:t>
      </w:r>
      <w:r w:rsidRPr="5133981B">
        <w:rPr>
          <w:color w:val="auto"/>
        </w:rPr>
        <w:t>gaps</w:t>
      </w:r>
    </w:p>
    <w:p w14:paraId="72305684" w14:textId="26D48EF3" w:rsidR="5133981B" w:rsidRDefault="5133981B" w:rsidP="5133981B">
      <w:pPr>
        <w:pStyle w:val="ListParagraph"/>
        <w:numPr>
          <w:ilvl w:val="0"/>
          <w:numId w:val="1"/>
        </w:numPr>
        <w:rPr>
          <w:color w:val="auto"/>
        </w:rPr>
      </w:pPr>
      <w:r w:rsidRPr="5133981B">
        <w:rPr>
          <w:color w:val="auto"/>
        </w:rPr>
        <w:t>New Approaches – descriptions of emerging instruments and/or assessment methods, with attention to validity and reliability, along with results from their application</w:t>
      </w:r>
    </w:p>
    <w:p w14:paraId="44E8DD55" w14:textId="686BDA61" w:rsidR="1A222DBE" w:rsidRDefault="1A222DBE" w:rsidP="5133981B">
      <w:pPr>
        <w:rPr>
          <w:b/>
          <w:bCs/>
          <w:color w:val="auto"/>
        </w:rPr>
      </w:pPr>
    </w:p>
    <w:p w14:paraId="2B096B7F" w14:textId="4E13B996" w:rsidR="1A222DBE" w:rsidRDefault="5133981B" w:rsidP="5133981B">
      <w:r w:rsidRPr="5133981B">
        <w:rPr>
          <w:b/>
          <w:bCs/>
          <w:color w:val="auto"/>
        </w:rPr>
        <w:t xml:space="preserve">Review and publication process for the special issue: </w:t>
      </w:r>
      <w:r w:rsidRPr="5133981B">
        <w:t xml:space="preserve">Guest editors, in consultation with the JTED editorial board, will review abstracts in the initial selection </w:t>
      </w:r>
      <w:r w:rsidR="00065D4E">
        <w:t xml:space="preserve">phase. Qualified reviewers will </w:t>
      </w:r>
      <w:r w:rsidRPr="5133981B">
        <w:t>be recruited by guest editors, with oversight from the JTED editorial board, to provide constructive feedback and recommendations for publication on full article manuscripts in a double blind review process. Final approval of articles for publication in this special issue will require the consensus of the guest editors and the JTED ed</w:t>
      </w:r>
      <w:bookmarkStart w:id="0" w:name="_GoBack"/>
      <w:bookmarkEnd w:id="0"/>
      <w:r w:rsidRPr="5133981B">
        <w:t>itorial board. Special efforts will be made to solicit proposals from a diverse group of scholars, including those from or working in international settings and those belonging to and/or studying underrepresented minority groups.</w:t>
      </w:r>
    </w:p>
    <w:p w14:paraId="44F7A546" w14:textId="57B93E55" w:rsidR="1A222DBE" w:rsidRDefault="1A222DBE" w:rsidP="5133981B">
      <w:pPr>
        <w:rPr>
          <w:b/>
          <w:bCs/>
          <w:color w:val="auto"/>
          <w:highlight w:val="yellow"/>
        </w:rPr>
      </w:pPr>
    </w:p>
    <w:p w14:paraId="6A2405AB" w14:textId="18C8D7BC" w:rsidR="5133981B" w:rsidRPr="00065D4E" w:rsidRDefault="5133981B" w:rsidP="5133981B">
      <w:pPr>
        <w:rPr>
          <w:color w:val="auto"/>
        </w:rPr>
      </w:pPr>
      <w:r w:rsidRPr="5133981B">
        <w:rPr>
          <w:b/>
          <w:bCs/>
          <w:color w:val="auto"/>
        </w:rPr>
        <w:t xml:space="preserve">Required details for proposal abstracts: </w:t>
      </w:r>
      <w:r w:rsidRPr="5133981B">
        <w:rPr>
          <w:color w:val="auto"/>
        </w:rPr>
        <w:t xml:space="preserve">Two-page double-spaced proposals (500 words </w:t>
      </w:r>
      <w:r w:rsidRPr="00065D4E">
        <w:rPr>
          <w:color w:val="auto"/>
        </w:rPr>
        <w:t xml:space="preserve">max) using Arial (11 size) font should be submitted by September 1, 2019 to </w:t>
      </w:r>
      <w:hyperlink r:id="rId8">
        <w:r w:rsidRPr="00065D4E">
          <w:rPr>
            <w:rStyle w:val="Hyperlink"/>
            <w:color w:val="auto"/>
          </w:rPr>
          <w:t>krisac@purdue.edu</w:t>
        </w:r>
      </w:hyperlink>
      <w:r w:rsidRPr="00065D4E">
        <w:rPr>
          <w:color w:val="auto"/>
        </w:rPr>
        <w:t>. Submissions should include:</w:t>
      </w:r>
    </w:p>
    <w:p w14:paraId="2EC60448" w14:textId="3097B336" w:rsidR="5133981B" w:rsidRPr="00065D4E" w:rsidRDefault="5133981B" w:rsidP="5133981B">
      <w:pPr>
        <w:pStyle w:val="ListParagraph"/>
        <w:numPr>
          <w:ilvl w:val="0"/>
          <w:numId w:val="1"/>
        </w:numPr>
        <w:rPr>
          <w:color w:val="000000" w:themeColor="text1"/>
        </w:rPr>
      </w:pPr>
      <w:r w:rsidRPr="00065D4E">
        <w:rPr>
          <w:color w:val="auto"/>
        </w:rPr>
        <w:t>Name and contact information of the author(s), including telephone and email</w:t>
      </w:r>
    </w:p>
    <w:p w14:paraId="5DA858C4" w14:textId="374C654D" w:rsidR="5133981B" w:rsidRPr="00065D4E" w:rsidRDefault="5133981B" w:rsidP="5133981B">
      <w:pPr>
        <w:pStyle w:val="ListParagraph"/>
        <w:numPr>
          <w:ilvl w:val="0"/>
          <w:numId w:val="1"/>
        </w:numPr>
        <w:rPr>
          <w:color w:val="000000" w:themeColor="text1"/>
        </w:rPr>
      </w:pPr>
      <w:r w:rsidRPr="00065D4E">
        <w:rPr>
          <w:color w:val="auto"/>
        </w:rPr>
        <w:t>Title of manuscript</w:t>
      </w:r>
    </w:p>
    <w:p w14:paraId="73681984" w14:textId="267A612E" w:rsidR="5133981B" w:rsidRPr="00065D4E" w:rsidRDefault="5133981B" w:rsidP="5133981B">
      <w:pPr>
        <w:pStyle w:val="ListParagraph"/>
        <w:numPr>
          <w:ilvl w:val="0"/>
          <w:numId w:val="1"/>
        </w:numPr>
        <w:rPr>
          <w:color w:val="000000" w:themeColor="text1"/>
        </w:rPr>
      </w:pPr>
      <w:r w:rsidRPr="00065D4E">
        <w:rPr>
          <w:color w:val="auto"/>
        </w:rPr>
        <w:t>Relevant special issue theme (from above)</w:t>
      </w:r>
    </w:p>
    <w:p w14:paraId="4AE9DA66" w14:textId="2E60942F" w:rsidR="5133981B" w:rsidRDefault="5133981B" w:rsidP="5133981B">
      <w:pPr>
        <w:pStyle w:val="ListParagraph"/>
        <w:numPr>
          <w:ilvl w:val="0"/>
          <w:numId w:val="1"/>
        </w:numPr>
        <w:rPr>
          <w:color w:val="000000" w:themeColor="text1"/>
        </w:rPr>
      </w:pPr>
      <w:r w:rsidRPr="00065D4E">
        <w:rPr>
          <w:color w:val="auto"/>
        </w:rPr>
        <w:t>Description</w:t>
      </w:r>
      <w:r w:rsidRPr="5133981B">
        <w:rPr>
          <w:color w:val="auto"/>
        </w:rPr>
        <w:t xml:space="preserve"> of the project or discussion</w:t>
      </w:r>
    </w:p>
    <w:p w14:paraId="12CB8359" w14:textId="22273473" w:rsidR="5133981B" w:rsidRDefault="5133981B" w:rsidP="5133981B">
      <w:pPr>
        <w:rPr>
          <w:color w:val="auto"/>
        </w:rPr>
      </w:pPr>
    </w:p>
    <w:p w14:paraId="1201A0B6" w14:textId="6490E7B9" w:rsidR="5133981B" w:rsidRDefault="5133981B" w:rsidP="5133981B">
      <w:pPr>
        <w:rPr>
          <w:color w:val="auto"/>
        </w:rPr>
      </w:pPr>
      <w:r w:rsidRPr="5133981B">
        <w:rPr>
          <w:color w:val="auto"/>
        </w:rPr>
        <w:t>Proposal selection will be based on academic quality of the proposal and concordance with and importance for the themes of the special issue. Authors will be notified regarding the acceptance of their proposals and will be provided with feedback for improving the proposed manuscript by October 1, 2019. Please see the table below for the entire timeline of the special issue.</w:t>
      </w:r>
    </w:p>
    <w:p w14:paraId="385BCAE6" w14:textId="277B2F96" w:rsidR="5133981B" w:rsidRDefault="5133981B" w:rsidP="5133981B">
      <w:pPr>
        <w:rPr>
          <w:color w:val="auto"/>
          <w:highlight w:val="yellow"/>
        </w:rPr>
      </w:pPr>
    </w:p>
    <w:tbl>
      <w:tblPr>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600" w:firstRow="0" w:lastRow="0" w:firstColumn="0" w:lastColumn="0" w:noHBand="1" w:noVBand="1"/>
      </w:tblPr>
      <w:tblGrid>
        <w:gridCol w:w="4995"/>
        <w:gridCol w:w="2415"/>
      </w:tblGrid>
      <w:tr w:rsidR="5133981B" w14:paraId="031C8CB9" w14:textId="77777777" w:rsidTr="5133981B">
        <w:trPr>
          <w:jc w:val="center"/>
        </w:trPr>
        <w:tc>
          <w:tcPr>
            <w:tcW w:w="4995" w:type="dxa"/>
            <w:shd w:val="clear" w:color="auto" w:fill="auto"/>
            <w:tcMar>
              <w:top w:w="100" w:type="dxa"/>
              <w:left w:w="100" w:type="dxa"/>
              <w:bottom w:w="100" w:type="dxa"/>
              <w:right w:w="100" w:type="dxa"/>
            </w:tcMar>
          </w:tcPr>
          <w:p w14:paraId="200A6EFB" w14:textId="77777777" w:rsidR="5133981B" w:rsidRDefault="5133981B" w:rsidP="5133981B">
            <w:pPr>
              <w:spacing w:line="240" w:lineRule="auto"/>
              <w:rPr>
                <w:rFonts w:ascii="Times New Roman" w:hAnsi="Times New Roman" w:cs="Times New Roman"/>
                <w:b/>
                <w:bCs/>
                <w:sz w:val="24"/>
                <w:szCs w:val="24"/>
              </w:rPr>
            </w:pPr>
            <w:r w:rsidRPr="5133981B">
              <w:rPr>
                <w:rFonts w:ascii="Times New Roman" w:hAnsi="Times New Roman" w:cs="Times New Roman"/>
                <w:b/>
                <w:bCs/>
                <w:sz w:val="24"/>
                <w:szCs w:val="24"/>
              </w:rPr>
              <w:t>Publication Process</w:t>
            </w:r>
          </w:p>
        </w:tc>
        <w:tc>
          <w:tcPr>
            <w:tcW w:w="2415" w:type="dxa"/>
            <w:shd w:val="clear" w:color="auto" w:fill="auto"/>
            <w:tcMar>
              <w:top w:w="100" w:type="dxa"/>
              <w:left w:w="100" w:type="dxa"/>
              <w:bottom w:w="100" w:type="dxa"/>
              <w:right w:w="100" w:type="dxa"/>
            </w:tcMar>
          </w:tcPr>
          <w:p w14:paraId="1A7AEA89" w14:textId="77777777" w:rsidR="5133981B" w:rsidRDefault="5133981B" w:rsidP="5133981B">
            <w:pPr>
              <w:spacing w:line="240" w:lineRule="auto"/>
              <w:rPr>
                <w:rFonts w:ascii="Times New Roman" w:hAnsi="Times New Roman" w:cs="Times New Roman"/>
                <w:b/>
                <w:bCs/>
                <w:sz w:val="24"/>
                <w:szCs w:val="24"/>
              </w:rPr>
            </w:pPr>
            <w:r w:rsidRPr="5133981B">
              <w:rPr>
                <w:rFonts w:ascii="Times New Roman" w:hAnsi="Times New Roman" w:cs="Times New Roman"/>
                <w:b/>
                <w:bCs/>
                <w:sz w:val="24"/>
                <w:szCs w:val="24"/>
              </w:rPr>
              <w:t>Deadline</w:t>
            </w:r>
          </w:p>
        </w:tc>
      </w:tr>
      <w:tr w:rsidR="5133981B" w14:paraId="63655A28" w14:textId="77777777" w:rsidTr="5133981B">
        <w:trPr>
          <w:jc w:val="center"/>
        </w:trPr>
        <w:tc>
          <w:tcPr>
            <w:tcW w:w="4995" w:type="dxa"/>
            <w:shd w:val="clear" w:color="auto" w:fill="auto"/>
            <w:tcMar>
              <w:top w:w="100" w:type="dxa"/>
              <w:left w:w="100" w:type="dxa"/>
              <w:bottom w:w="100" w:type="dxa"/>
              <w:right w:w="100" w:type="dxa"/>
            </w:tcMar>
          </w:tcPr>
          <w:p w14:paraId="0E6A8743" w14:textId="77777777" w:rsidR="5133981B" w:rsidRDefault="5133981B" w:rsidP="5133981B">
            <w:pPr>
              <w:spacing w:line="240" w:lineRule="auto"/>
              <w:rPr>
                <w:rFonts w:ascii="Times New Roman" w:hAnsi="Times New Roman" w:cs="Times New Roman"/>
                <w:sz w:val="24"/>
                <w:szCs w:val="24"/>
              </w:rPr>
            </w:pPr>
            <w:r w:rsidRPr="5133981B">
              <w:rPr>
                <w:rFonts w:ascii="Times New Roman" w:hAnsi="Times New Roman" w:cs="Times New Roman"/>
                <w:sz w:val="24"/>
                <w:szCs w:val="24"/>
              </w:rPr>
              <w:t>Submission of abstracts/article proposals</w:t>
            </w:r>
          </w:p>
        </w:tc>
        <w:tc>
          <w:tcPr>
            <w:tcW w:w="2415" w:type="dxa"/>
            <w:shd w:val="clear" w:color="auto" w:fill="auto"/>
            <w:tcMar>
              <w:top w:w="100" w:type="dxa"/>
              <w:left w:w="100" w:type="dxa"/>
              <w:bottom w:w="100" w:type="dxa"/>
              <w:right w:w="100" w:type="dxa"/>
            </w:tcMar>
          </w:tcPr>
          <w:p w14:paraId="17C6A6E6" w14:textId="61B1623E" w:rsidR="5133981B" w:rsidRDefault="5133981B" w:rsidP="5133981B">
            <w:pPr>
              <w:spacing w:line="240" w:lineRule="auto"/>
              <w:rPr>
                <w:rFonts w:ascii="Times New Roman" w:hAnsi="Times New Roman" w:cs="Times New Roman"/>
                <w:b/>
                <w:bCs/>
                <w:i/>
                <w:iCs/>
                <w:sz w:val="24"/>
                <w:szCs w:val="24"/>
              </w:rPr>
            </w:pPr>
            <w:r w:rsidRPr="5133981B">
              <w:rPr>
                <w:rFonts w:ascii="Times New Roman" w:hAnsi="Times New Roman" w:cs="Times New Roman"/>
                <w:sz w:val="24"/>
                <w:szCs w:val="24"/>
              </w:rPr>
              <w:t>September 1, 2019</w:t>
            </w:r>
          </w:p>
        </w:tc>
      </w:tr>
      <w:tr w:rsidR="5133981B" w14:paraId="78E2B0CA" w14:textId="77777777" w:rsidTr="5133981B">
        <w:trPr>
          <w:jc w:val="center"/>
        </w:trPr>
        <w:tc>
          <w:tcPr>
            <w:tcW w:w="4995" w:type="dxa"/>
            <w:shd w:val="clear" w:color="auto" w:fill="auto"/>
            <w:tcMar>
              <w:top w:w="100" w:type="dxa"/>
              <w:left w:w="100" w:type="dxa"/>
              <w:bottom w:w="100" w:type="dxa"/>
              <w:right w:w="100" w:type="dxa"/>
            </w:tcMar>
          </w:tcPr>
          <w:p w14:paraId="6B131D16" w14:textId="77777777" w:rsidR="5133981B" w:rsidRDefault="5133981B" w:rsidP="5133981B">
            <w:pPr>
              <w:spacing w:line="240" w:lineRule="auto"/>
              <w:rPr>
                <w:rFonts w:ascii="Times New Roman" w:hAnsi="Times New Roman" w:cs="Times New Roman"/>
                <w:sz w:val="24"/>
                <w:szCs w:val="24"/>
              </w:rPr>
            </w:pPr>
            <w:r w:rsidRPr="5133981B">
              <w:rPr>
                <w:rFonts w:ascii="Times New Roman" w:hAnsi="Times New Roman" w:cs="Times New Roman"/>
                <w:sz w:val="24"/>
                <w:szCs w:val="24"/>
              </w:rPr>
              <w:t>Decisions on abstracts/article proposals</w:t>
            </w:r>
          </w:p>
        </w:tc>
        <w:tc>
          <w:tcPr>
            <w:tcW w:w="2415" w:type="dxa"/>
            <w:shd w:val="clear" w:color="auto" w:fill="auto"/>
            <w:tcMar>
              <w:top w:w="100" w:type="dxa"/>
              <w:left w:w="100" w:type="dxa"/>
              <w:bottom w:w="100" w:type="dxa"/>
              <w:right w:w="100" w:type="dxa"/>
            </w:tcMar>
          </w:tcPr>
          <w:p w14:paraId="4B1D6C02" w14:textId="740C10B3" w:rsidR="5133981B" w:rsidRDefault="5133981B" w:rsidP="5133981B">
            <w:pPr>
              <w:spacing w:line="240" w:lineRule="auto"/>
              <w:rPr>
                <w:rFonts w:ascii="Times New Roman" w:hAnsi="Times New Roman" w:cs="Times New Roman"/>
                <w:b/>
                <w:bCs/>
                <w:i/>
                <w:iCs/>
                <w:sz w:val="24"/>
                <w:szCs w:val="24"/>
              </w:rPr>
            </w:pPr>
            <w:r w:rsidRPr="5133981B">
              <w:rPr>
                <w:rFonts w:ascii="Times New Roman" w:hAnsi="Times New Roman" w:cs="Times New Roman"/>
                <w:sz w:val="24"/>
                <w:szCs w:val="24"/>
              </w:rPr>
              <w:t>October 1, 2019</w:t>
            </w:r>
          </w:p>
        </w:tc>
      </w:tr>
      <w:tr w:rsidR="5133981B" w14:paraId="5E1F9252" w14:textId="77777777" w:rsidTr="5133981B">
        <w:trPr>
          <w:jc w:val="center"/>
        </w:trPr>
        <w:tc>
          <w:tcPr>
            <w:tcW w:w="4995" w:type="dxa"/>
            <w:shd w:val="clear" w:color="auto" w:fill="auto"/>
            <w:tcMar>
              <w:top w:w="100" w:type="dxa"/>
              <w:left w:w="100" w:type="dxa"/>
              <w:bottom w:w="100" w:type="dxa"/>
              <w:right w:w="100" w:type="dxa"/>
            </w:tcMar>
          </w:tcPr>
          <w:p w14:paraId="6DADA5E4" w14:textId="77777777" w:rsidR="5133981B" w:rsidRDefault="5133981B" w:rsidP="5133981B">
            <w:pPr>
              <w:spacing w:line="240" w:lineRule="auto"/>
              <w:rPr>
                <w:rFonts w:ascii="Times New Roman" w:hAnsi="Times New Roman" w:cs="Times New Roman"/>
                <w:sz w:val="24"/>
                <w:szCs w:val="24"/>
              </w:rPr>
            </w:pPr>
            <w:r w:rsidRPr="5133981B">
              <w:rPr>
                <w:rFonts w:ascii="Times New Roman" w:hAnsi="Times New Roman" w:cs="Times New Roman"/>
                <w:sz w:val="24"/>
                <w:szCs w:val="24"/>
              </w:rPr>
              <w:t>Submission of full manuscripts for review</w:t>
            </w:r>
          </w:p>
        </w:tc>
        <w:tc>
          <w:tcPr>
            <w:tcW w:w="2415" w:type="dxa"/>
            <w:shd w:val="clear" w:color="auto" w:fill="auto"/>
            <w:tcMar>
              <w:top w:w="100" w:type="dxa"/>
              <w:left w:w="100" w:type="dxa"/>
              <w:bottom w:w="100" w:type="dxa"/>
              <w:right w:w="100" w:type="dxa"/>
            </w:tcMar>
          </w:tcPr>
          <w:p w14:paraId="698B1880" w14:textId="7A826BEF" w:rsidR="5133981B" w:rsidRDefault="5133981B" w:rsidP="5133981B">
            <w:pPr>
              <w:spacing w:line="240" w:lineRule="auto"/>
              <w:rPr>
                <w:rFonts w:ascii="Times New Roman" w:hAnsi="Times New Roman" w:cs="Times New Roman"/>
                <w:b/>
                <w:bCs/>
                <w:i/>
                <w:iCs/>
                <w:sz w:val="24"/>
                <w:szCs w:val="24"/>
              </w:rPr>
            </w:pPr>
            <w:r w:rsidRPr="5133981B">
              <w:rPr>
                <w:rFonts w:ascii="Times New Roman" w:hAnsi="Times New Roman" w:cs="Times New Roman"/>
                <w:sz w:val="24"/>
                <w:szCs w:val="24"/>
              </w:rPr>
              <w:t>January 15, 2020</w:t>
            </w:r>
          </w:p>
        </w:tc>
      </w:tr>
      <w:tr w:rsidR="5133981B" w14:paraId="49C2F4F2" w14:textId="77777777" w:rsidTr="5133981B">
        <w:trPr>
          <w:jc w:val="center"/>
        </w:trPr>
        <w:tc>
          <w:tcPr>
            <w:tcW w:w="4995" w:type="dxa"/>
            <w:shd w:val="clear" w:color="auto" w:fill="auto"/>
            <w:tcMar>
              <w:top w:w="100" w:type="dxa"/>
              <w:left w:w="100" w:type="dxa"/>
              <w:bottom w:w="100" w:type="dxa"/>
              <w:right w:w="100" w:type="dxa"/>
            </w:tcMar>
          </w:tcPr>
          <w:p w14:paraId="0404F330" w14:textId="77777777" w:rsidR="5133981B" w:rsidRDefault="5133981B" w:rsidP="5133981B">
            <w:pPr>
              <w:spacing w:line="240" w:lineRule="auto"/>
              <w:rPr>
                <w:rFonts w:ascii="Times New Roman" w:hAnsi="Times New Roman" w:cs="Times New Roman"/>
                <w:sz w:val="24"/>
                <w:szCs w:val="24"/>
              </w:rPr>
            </w:pPr>
            <w:r w:rsidRPr="5133981B">
              <w:rPr>
                <w:rFonts w:ascii="Times New Roman" w:hAnsi="Times New Roman" w:cs="Times New Roman"/>
                <w:sz w:val="24"/>
                <w:szCs w:val="24"/>
              </w:rPr>
              <w:t>Decisions on full manuscripts</w:t>
            </w:r>
          </w:p>
        </w:tc>
        <w:tc>
          <w:tcPr>
            <w:tcW w:w="2415" w:type="dxa"/>
            <w:shd w:val="clear" w:color="auto" w:fill="auto"/>
            <w:tcMar>
              <w:top w:w="100" w:type="dxa"/>
              <w:left w:w="100" w:type="dxa"/>
              <w:bottom w:w="100" w:type="dxa"/>
              <w:right w:w="100" w:type="dxa"/>
            </w:tcMar>
          </w:tcPr>
          <w:p w14:paraId="314FEECE" w14:textId="6B6D851E" w:rsidR="5133981B" w:rsidRDefault="5133981B" w:rsidP="5133981B">
            <w:pPr>
              <w:spacing w:line="240" w:lineRule="auto"/>
              <w:rPr>
                <w:rFonts w:ascii="Times New Roman" w:hAnsi="Times New Roman" w:cs="Times New Roman"/>
                <w:b/>
                <w:bCs/>
                <w:i/>
                <w:iCs/>
                <w:sz w:val="24"/>
                <w:szCs w:val="24"/>
              </w:rPr>
            </w:pPr>
            <w:r w:rsidRPr="5133981B">
              <w:rPr>
                <w:rFonts w:ascii="Times New Roman" w:hAnsi="Times New Roman" w:cs="Times New Roman"/>
                <w:sz w:val="24"/>
                <w:szCs w:val="24"/>
              </w:rPr>
              <w:t>March 1, 2020</w:t>
            </w:r>
          </w:p>
        </w:tc>
      </w:tr>
      <w:tr w:rsidR="5133981B" w14:paraId="76344099" w14:textId="77777777" w:rsidTr="5133981B">
        <w:trPr>
          <w:jc w:val="center"/>
        </w:trPr>
        <w:tc>
          <w:tcPr>
            <w:tcW w:w="4995" w:type="dxa"/>
            <w:shd w:val="clear" w:color="auto" w:fill="auto"/>
            <w:tcMar>
              <w:top w:w="100" w:type="dxa"/>
              <w:left w:w="100" w:type="dxa"/>
              <w:bottom w:w="100" w:type="dxa"/>
              <w:right w:w="100" w:type="dxa"/>
            </w:tcMar>
          </w:tcPr>
          <w:p w14:paraId="2B36E1FD" w14:textId="77777777" w:rsidR="5133981B" w:rsidRDefault="5133981B" w:rsidP="5133981B">
            <w:pPr>
              <w:spacing w:line="240" w:lineRule="auto"/>
              <w:rPr>
                <w:rFonts w:ascii="Times New Roman" w:hAnsi="Times New Roman" w:cs="Times New Roman"/>
                <w:sz w:val="24"/>
                <w:szCs w:val="24"/>
              </w:rPr>
            </w:pPr>
            <w:r w:rsidRPr="5133981B">
              <w:rPr>
                <w:rFonts w:ascii="Times New Roman" w:hAnsi="Times New Roman" w:cs="Times New Roman"/>
                <w:sz w:val="24"/>
                <w:szCs w:val="24"/>
              </w:rPr>
              <w:t>Revised manuscripts due</w:t>
            </w:r>
          </w:p>
        </w:tc>
        <w:tc>
          <w:tcPr>
            <w:tcW w:w="2415" w:type="dxa"/>
            <w:shd w:val="clear" w:color="auto" w:fill="auto"/>
            <w:tcMar>
              <w:top w:w="100" w:type="dxa"/>
              <w:left w:w="100" w:type="dxa"/>
              <w:bottom w:w="100" w:type="dxa"/>
              <w:right w:w="100" w:type="dxa"/>
            </w:tcMar>
          </w:tcPr>
          <w:p w14:paraId="6993E119" w14:textId="3B4EB009" w:rsidR="5133981B" w:rsidRDefault="5133981B" w:rsidP="5133981B">
            <w:pPr>
              <w:spacing w:line="240" w:lineRule="auto"/>
              <w:rPr>
                <w:rFonts w:ascii="Times New Roman" w:hAnsi="Times New Roman" w:cs="Times New Roman"/>
                <w:sz w:val="24"/>
                <w:szCs w:val="24"/>
              </w:rPr>
            </w:pPr>
            <w:r w:rsidRPr="5133981B">
              <w:rPr>
                <w:rFonts w:ascii="Times New Roman" w:hAnsi="Times New Roman" w:cs="Times New Roman"/>
                <w:sz w:val="24"/>
                <w:szCs w:val="24"/>
              </w:rPr>
              <w:t>May 1, 2020</w:t>
            </w:r>
          </w:p>
        </w:tc>
      </w:tr>
      <w:tr w:rsidR="5133981B" w14:paraId="3B37F8BD" w14:textId="77777777" w:rsidTr="5133981B">
        <w:trPr>
          <w:jc w:val="center"/>
        </w:trPr>
        <w:tc>
          <w:tcPr>
            <w:tcW w:w="4995" w:type="dxa"/>
            <w:shd w:val="clear" w:color="auto" w:fill="auto"/>
            <w:tcMar>
              <w:top w:w="100" w:type="dxa"/>
              <w:left w:w="100" w:type="dxa"/>
              <w:bottom w:w="100" w:type="dxa"/>
              <w:right w:w="100" w:type="dxa"/>
            </w:tcMar>
          </w:tcPr>
          <w:p w14:paraId="2E8ABF32" w14:textId="77777777" w:rsidR="5133981B" w:rsidRDefault="5133981B" w:rsidP="5133981B">
            <w:pPr>
              <w:spacing w:line="240" w:lineRule="auto"/>
              <w:rPr>
                <w:rFonts w:ascii="Times New Roman" w:hAnsi="Times New Roman" w:cs="Times New Roman"/>
                <w:sz w:val="24"/>
                <w:szCs w:val="24"/>
              </w:rPr>
            </w:pPr>
            <w:r w:rsidRPr="5133981B">
              <w:rPr>
                <w:rFonts w:ascii="Times New Roman" w:hAnsi="Times New Roman" w:cs="Times New Roman"/>
                <w:sz w:val="24"/>
                <w:szCs w:val="24"/>
              </w:rPr>
              <w:t>Edited and formatted manuscripts complete; Issue ready for publication</w:t>
            </w:r>
          </w:p>
        </w:tc>
        <w:tc>
          <w:tcPr>
            <w:tcW w:w="2415" w:type="dxa"/>
            <w:shd w:val="clear" w:color="auto" w:fill="auto"/>
            <w:tcMar>
              <w:top w:w="100" w:type="dxa"/>
              <w:left w:w="100" w:type="dxa"/>
              <w:bottom w:w="100" w:type="dxa"/>
              <w:right w:w="100" w:type="dxa"/>
            </w:tcMar>
          </w:tcPr>
          <w:p w14:paraId="43BD4111" w14:textId="0BD9EEC1" w:rsidR="5133981B" w:rsidRDefault="5133981B" w:rsidP="5133981B">
            <w:pPr>
              <w:spacing w:line="240" w:lineRule="auto"/>
              <w:rPr>
                <w:rFonts w:ascii="Times New Roman" w:hAnsi="Times New Roman" w:cs="Times New Roman"/>
                <w:sz w:val="24"/>
                <w:szCs w:val="24"/>
              </w:rPr>
            </w:pPr>
            <w:r w:rsidRPr="5133981B">
              <w:rPr>
                <w:rFonts w:ascii="Times New Roman" w:hAnsi="Times New Roman" w:cs="Times New Roman"/>
                <w:sz w:val="24"/>
                <w:szCs w:val="24"/>
              </w:rPr>
              <w:t>August 1, 2020</w:t>
            </w:r>
          </w:p>
        </w:tc>
      </w:tr>
    </w:tbl>
    <w:p w14:paraId="17FE3C7D" w14:textId="77777777" w:rsidR="00AD0C0F" w:rsidRDefault="00AD0C0F" w:rsidP="00065D4E">
      <w:pPr>
        <w:contextualSpacing/>
        <w:sectPr w:rsidR="00AD0C0F">
          <w:pgSz w:w="12240" w:h="15840"/>
          <w:pgMar w:top="1440" w:right="1440" w:bottom="1440" w:left="1440" w:header="0" w:footer="720" w:gutter="0"/>
          <w:pgNumType w:start="1"/>
          <w:cols w:space="720"/>
        </w:sectPr>
      </w:pPr>
    </w:p>
    <w:p w14:paraId="6434005F" w14:textId="6B4DFEAB" w:rsidR="5133981B" w:rsidRDefault="5133981B">
      <w:pPr>
        <w:sectPr w:rsidR="5133981B" w:rsidSect="00AD0C0F">
          <w:type w:val="continuous"/>
          <w:pgSz w:w="12240" w:h="15840"/>
          <w:pgMar w:top="1440" w:right="1440" w:bottom="1440" w:left="1440" w:header="0" w:footer="720" w:gutter="0"/>
          <w:pgNumType w:start="1"/>
          <w:cols w:num="2" w:space="720"/>
        </w:sectPr>
      </w:pPr>
    </w:p>
    <w:p w14:paraId="119A3526" w14:textId="0F634288" w:rsidR="0034743F" w:rsidRPr="00065D4E" w:rsidRDefault="0034743F">
      <w:pPr>
        <w:rPr>
          <w:rFonts w:ascii="Times New Roman" w:hAnsi="Times New Roman" w:cs="Times New Roman"/>
          <w:sz w:val="4"/>
          <w:szCs w:val="4"/>
        </w:rPr>
      </w:pPr>
    </w:p>
    <w:sectPr w:rsidR="0034743F" w:rsidRPr="00065D4E" w:rsidSect="00AD0C0F">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4F460" w14:textId="77777777" w:rsidR="00992775" w:rsidRDefault="00992775" w:rsidP="005C7007">
      <w:pPr>
        <w:spacing w:line="240" w:lineRule="auto"/>
      </w:pPr>
      <w:r>
        <w:separator/>
      </w:r>
    </w:p>
  </w:endnote>
  <w:endnote w:type="continuationSeparator" w:id="0">
    <w:p w14:paraId="093CE05F" w14:textId="77777777" w:rsidR="00992775" w:rsidRDefault="00992775" w:rsidP="005C70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13C83" w14:textId="77777777" w:rsidR="00992775" w:rsidRDefault="00992775" w:rsidP="005C7007">
      <w:pPr>
        <w:spacing w:line="240" w:lineRule="auto"/>
      </w:pPr>
      <w:r>
        <w:separator/>
      </w:r>
    </w:p>
  </w:footnote>
  <w:footnote w:type="continuationSeparator" w:id="0">
    <w:p w14:paraId="6465A6C9" w14:textId="77777777" w:rsidR="00992775" w:rsidRDefault="00992775" w:rsidP="005C700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D935E6"/>
    <w:multiLevelType w:val="hybridMultilevel"/>
    <w:tmpl w:val="F0BE3F0A"/>
    <w:lvl w:ilvl="0" w:tplc="C00870B4">
      <w:start w:val="1"/>
      <w:numFmt w:val="bullet"/>
      <w:lvlText w:val=""/>
      <w:lvlJc w:val="left"/>
      <w:pPr>
        <w:ind w:left="720" w:hanging="360"/>
      </w:pPr>
      <w:rPr>
        <w:rFonts w:ascii="Symbol" w:hAnsi="Symbol" w:hint="default"/>
      </w:rPr>
    </w:lvl>
    <w:lvl w:ilvl="1" w:tplc="2BB659AE">
      <w:start w:val="1"/>
      <w:numFmt w:val="bullet"/>
      <w:lvlText w:val="o"/>
      <w:lvlJc w:val="left"/>
      <w:pPr>
        <w:ind w:left="1440" w:hanging="360"/>
      </w:pPr>
      <w:rPr>
        <w:rFonts w:ascii="Courier New" w:hAnsi="Courier New" w:hint="default"/>
      </w:rPr>
    </w:lvl>
    <w:lvl w:ilvl="2" w:tplc="E326ED56">
      <w:start w:val="1"/>
      <w:numFmt w:val="bullet"/>
      <w:lvlText w:val=""/>
      <w:lvlJc w:val="left"/>
      <w:pPr>
        <w:ind w:left="2160" w:hanging="360"/>
      </w:pPr>
      <w:rPr>
        <w:rFonts w:ascii="Wingdings" w:hAnsi="Wingdings" w:hint="default"/>
      </w:rPr>
    </w:lvl>
    <w:lvl w:ilvl="3" w:tplc="C52CD714">
      <w:start w:val="1"/>
      <w:numFmt w:val="bullet"/>
      <w:lvlText w:val=""/>
      <w:lvlJc w:val="left"/>
      <w:pPr>
        <w:ind w:left="2880" w:hanging="360"/>
      </w:pPr>
      <w:rPr>
        <w:rFonts w:ascii="Symbol" w:hAnsi="Symbol" w:hint="default"/>
      </w:rPr>
    </w:lvl>
    <w:lvl w:ilvl="4" w:tplc="C7E054A2">
      <w:start w:val="1"/>
      <w:numFmt w:val="bullet"/>
      <w:lvlText w:val="o"/>
      <w:lvlJc w:val="left"/>
      <w:pPr>
        <w:ind w:left="3600" w:hanging="360"/>
      </w:pPr>
      <w:rPr>
        <w:rFonts w:ascii="Courier New" w:hAnsi="Courier New" w:hint="default"/>
      </w:rPr>
    </w:lvl>
    <w:lvl w:ilvl="5" w:tplc="36A49B98">
      <w:start w:val="1"/>
      <w:numFmt w:val="bullet"/>
      <w:lvlText w:val=""/>
      <w:lvlJc w:val="left"/>
      <w:pPr>
        <w:ind w:left="4320" w:hanging="360"/>
      </w:pPr>
      <w:rPr>
        <w:rFonts w:ascii="Wingdings" w:hAnsi="Wingdings" w:hint="default"/>
      </w:rPr>
    </w:lvl>
    <w:lvl w:ilvl="6" w:tplc="9B581C5A">
      <w:start w:val="1"/>
      <w:numFmt w:val="bullet"/>
      <w:lvlText w:val=""/>
      <w:lvlJc w:val="left"/>
      <w:pPr>
        <w:ind w:left="5040" w:hanging="360"/>
      </w:pPr>
      <w:rPr>
        <w:rFonts w:ascii="Symbol" w:hAnsi="Symbol" w:hint="default"/>
      </w:rPr>
    </w:lvl>
    <w:lvl w:ilvl="7" w:tplc="EFD086E6">
      <w:start w:val="1"/>
      <w:numFmt w:val="bullet"/>
      <w:lvlText w:val="o"/>
      <w:lvlJc w:val="left"/>
      <w:pPr>
        <w:ind w:left="5760" w:hanging="360"/>
      </w:pPr>
      <w:rPr>
        <w:rFonts w:ascii="Courier New" w:hAnsi="Courier New" w:hint="default"/>
      </w:rPr>
    </w:lvl>
    <w:lvl w:ilvl="8" w:tplc="8F10D26A">
      <w:start w:val="1"/>
      <w:numFmt w:val="bullet"/>
      <w:lvlText w:val=""/>
      <w:lvlJc w:val="left"/>
      <w:pPr>
        <w:ind w:left="6480" w:hanging="360"/>
      </w:pPr>
      <w:rPr>
        <w:rFonts w:ascii="Wingdings" w:hAnsi="Wingdings" w:hint="default"/>
      </w:rPr>
    </w:lvl>
  </w:abstractNum>
  <w:abstractNum w:abstractNumId="1" w15:restartNumberingAfterBreak="0">
    <w:nsid w:val="720A2ED9"/>
    <w:multiLevelType w:val="multilevel"/>
    <w:tmpl w:val="E2848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3F"/>
    <w:rsid w:val="00046BAF"/>
    <w:rsid w:val="00065D4E"/>
    <w:rsid w:val="000A093B"/>
    <w:rsid w:val="000A652D"/>
    <w:rsid w:val="000D46EF"/>
    <w:rsid w:val="00162CB2"/>
    <w:rsid w:val="00175BA8"/>
    <w:rsid w:val="001C3B5A"/>
    <w:rsid w:val="001E1017"/>
    <w:rsid w:val="002636EA"/>
    <w:rsid w:val="002844E4"/>
    <w:rsid w:val="00294937"/>
    <w:rsid w:val="002A6E05"/>
    <w:rsid w:val="00324272"/>
    <w:rsid w:val="0034743F"/>
    <w:rsid w:val="003509A5"/>
    <w:rsid w:val="003B1612"/>
    <w:rsid w:val="003F003D"/>
    <w:rsid w:val="004240A8"/>
    <w:rsid w:val="00465A00"/>
    <w:rsid w:val="004B526C"/>
    <w:rsid w:val="004B6DCE"/>
    <w:rsid w:val="00521C7C"/>
    <w:rsid w:val="005C7007"/>
    <w:rsid w:val="005E7F20"/>
    <w:rsid w:val="006502CF"/>
    <w:rsid w:val="006B05F5"/>
    <w:rsid w:val="006C4006"/>
    <w:rsid w:val="0074362A"/>
    <w:rsid w:val="00743892"/>
    <w:rsid w:val="00765F29"/>
    <w:rsid w:val="007B6D48"/>
    <w:rsid w:val="008B15DB"/>
    <w:rsid w:val="008B63C8"/>
    <w:rsid w:val="008F64E7"/>
    <w:rsid w:val="009601C6"/>
    <w:rsid w:val="00992775"/>
    <w:rsid w:val="00AD0C0F"/>
    <w:rsid w:val="00AD23ED"/>
    <w:rsid w:val="00B7611E"/>
    <w:rsid w:val="00BB11CF"/>
    <w:rsid w:val="00C24FEA"/>
    <w:rsid w:val="00C42F69"/>
    <w:rsid w:val="00CF0EF2"/>
    <w:rsid w:val="00D149D5"/>
    <w:rsid w:val="00D23976"/>
    <w:rsid w:val="00D53F17"/>
    <w:rsid w:val="00DF7F1A"/>
    <w:rsid w:val="00E1725B"/>
    <w:rsid w:val="00E278B6"/>
    <w:rsid w:val="00EC0E62"/>
    <w:rsid w:val="00F11AAC"/>
    <w:rsid w:val="00F15710"/>
    <w:rsid w:val="00F900F6"/>
    <w:rsid w:val="00F93218"/>
    <w:rsid w:val="1A222DBE"/>
    <w:rsid w:val="3AC4CB74"/>
    <w:rsid w:val="51339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F813A"/>
  <w15:docId w15:val="{986F7EFE-B20B-4A11-93D5-93B7E302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149D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9D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149D5"/>
    <w:rPr>
      <w:b/>
      <w:bCs/>
    </w:rPr>
  </w:style>
  <w:style w:type="character" w:customStyle="1" w:styleId="CommentSubjectChar">
    <w:name w:val="Comment Subject Char"/>
    <w:basedOn w:val="CommentTextChar"/>
    <w:link w:val="CommentSubject"/>
    <w:uiPriority w:val="99"/>
    <w:semiHidden/>
    <w:rsid w:val="00D149D5"/>
    <w:rPr>
      <w:b/>
      <w:bCs/>
      <w:sz w:val="20"/>
      <w:szCs w:val="20"/>
    </w:rPr>
  </w:style>
  <w:style w:type="paragraph" w:styleId="Header">
    <w:name w:val="header"/>
    <w:basedOn w:val="Normal"/>
    <w:link w:val="HeaderChar"/>
    <w:uiPriority w:val="99"/>
    <w:unhideWhenUsed/>
    <w:rsid w:val="005C7007"/>
    <w:pPr>
      <w:tabs>
        <w:tab w:val="center" w:pos="4680"/>
        <w:tab w:val="right" w:pos="9360"/>
      </w:tabs>
      <w:spacing w:line="240" w:lineRule="auto"/>
    </w:pPr>
  </w:style>
  <w:style w:type="character" w:customStyle="1" w:styleId="HeaderChar">
    <w:name w:val="Header Char"/>
    <w:basedOn w:val="DefaultParagraphFont"/>
    <w:link w:val="Header"/>
    <w:uiPriority w:val="99"/>
    <w:rsid w:val="005C7007"/>
  </w:style>
  <w:style w:type="paragraph" w:styleId="Footer">
    <w:name w:val="footer"/>
    <w:basedOn w:val="Normal"/>
    <w:link w:val="FooterChar"/>
    <w:uiPriority w:val="99"/>
    <w:unhideWhenUsed/>
    <w:rsid w:val="005C7007"/>
    <w:pPr>
      <w:tabs>
        <w:tab w:val="center" w:pos="4680"/>
        <w:tab w:val="right" w:pos="9360"/>
      </w:tabs>
      <w:spacing w:line="240" w:lineRule="auto"/>
    </w:pPr>
  </w:style>
  <w:style w:type="character" w:customStyle="1" w:styleId="FooterChar">
    <w:name w:val="Footer Char"/>
    <w:basedOn w:val="DefaultParagraphFont"/>
    <w:link w:val="Footer"/>
    <w:uiPriority w:val="99"/>
    <w:rsid w:val="005C7007"/>
  </w:style>
  <w:style w:type="paragraph" w:styleId="Bibliography">
    <w:name w:val="Bibliography"/>
    <w:basedOn w:val="Normal"/>
    <w:next w:val="Normal"/>
    <w:uiPriority w:val="37"/>
    <w:unhideWhenUsed/>
    <w:rsid w:val="00EC0E62"/>
    <w:pPr>
      <w:spacing w:line="480" w:lineRule="auto"/>
      <w:ind w:left="720" w:hanging="720"/>
    </w:pPr>
  </w:style>
  <w:style w:type="character" w:customStyle="1" w:styleId="normaltextrun">
    <w:name w:val="normaltextrun"/>
    <w:basedOn w:val="DefaultParagraphFont"/>
    <w:rsid w:val="00EC0E62"/>
  </w:style>
  <w:style w:type="character" w:customStyle="1" w:styleId="eop">
    <w:name w:val="eop"/>
    <w:basedOn w:val="DefaultParagraphFont"/>
    <w:rsid w:val="00EC0E62"/>
  </w:style>
  <w:style w:type="paragraph" w:customStyle="1" w:styleId="paragraph">
    <w:name w:val="paragraph"/>
    <w:basedOn w:val="Normal"/>
    <w:rsid w:val="00EC0E6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s-CO" w:eastAsia="es-CO"/>
    </w:rPr>
  </w:style>
  <w:style w:type="character" w:styleId="Hyperlink">
    <w:name w:val="Hyperlink"/>
    <w:basedOn w:val="DefaultParagraphFont"/>
    <w:uiPriority w:val="99"/>
    <w:unhideWhenUsed/>
    <w:rsid w:val="00AD0C0F"/>
    <w:rPr>
      <w:color w:val="0000FF" w:themeColor="hyperlink"/>
      <w:u w:val="single"/>
    </w:rPr>
  </w:style>
  <w:style w:type="character" w:styleId="FollowedHyperlink">
    <w:name w:val="FollowedHyperlink"/>
    <w:basedOn w:val="DefaultParagraphFont"/>
    <w:uiPriority w:val="99"/>
    <w:semiHidden/>
    <w:unhideWhenUsed/>
    <w:rsid w:val="008B63C8"/>
    <w:rPr>
      <w:color w:val="800080" w:themeColor="followed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498115">
      <w:bodyDiv w:val="1"/>
      <w:marLeft w:val="0"/>
      <w:marRight w:val="0"/>
      <w:marTop w:val="0"/>
      <w:marBottom w:val="0"/>
      <w:divBdr>
        <w:top w:val="none" w:sz="0" w:space="0" w:color="auto"/>
        <w:left w:val="none" w:sz="0" w:space="0" w:color="auto"/>
        <w:bottom w:val="none" w:sz="0" w:space="0" w:color="auto"/>
        <w:right w:val="none" w:sz="0" w:space="0" w:color="auto"/>
      </w:divBdr>
      <w:divsChild>
        <w:div w:id="2033414531">
          <w:marLeft w:val="0"/>
          <w:marRight w:val="0"/>
          <w:marTop w:val="0"/>
          <w:marBottom w:val="0"/>
          <w:divBdr>
            <w:top w:val="none" w:sz="0" w:space="0" w:color="auto"/>
            <w:left w:val="none" w:sz="0" w:space="0" w:color="auto"/>
            <w:bottom w:val="none" w:sz="0" w:space="0" w:color="auto"/>
            <w:right w:val="none" w:sz="0" w:space="0" w:color="auto"/>
          </w:divBdr>
        </w:div>
        <w:div w:id="1442384669">
          <w:marLeft w:val="0"/>
          <w:marRight w:val="0"/>
          <w:marTop w:val="0"/>
          <w:marBottom w:val="0"/>
          <w:divBdr>
            <w:top w:val="none" w:sz="0" w:space="0" w:color="auto"/>
            <w:left w:val="none" w:sz="0" w:space="0" w:color="auto"/>
            <w:bottom w:val="none" w:sz="0" w:space="0" w:color="auto"/>
            <w:right w:val="none" w:sz="0" w:space="0" w:color="auto"/>
          </w:divBdr>
        </w:div>
        <w:div w:id="1490752592">
          <w:marLeft w:val="0"/>
          <w:marRight w:val="0"/>
          <w:marTop w:val="0"/>
          <w:marBottom w:val="0"/>
          <w:divBdr>
            <w:top w:val="none" w:sz="0" w:space="0" w:color="auto"/>
            <w:left w:val="none" w:sz="0" w:space="0" w:color="auto"/>
            <w:bottom w:val="none" w:sz="0" w:space="0" w:color="auto"/>
            <w:right w:val="none" w:sz="0" w:space="0" w:color="auto"/>
          </w:divBdr>
        </w:div>
        <w:div w:id="1045253018">
          <w:marLeft w:val="720"/>
          <w:marRight w:val="0"/>
          <w:marTop w:val="280"/>
          <w:marBottom w:val="0"/>
          <w:divBdr>
            <w:top w:val="none" w:sz="0" w:space="0" w:color="auto"/>
            <w:left w:val="none" w:sz="0" w:space="0" w:color="auto"/>
            <w:bottom w:val="none" w:sz="0" w:space="0" w:color="auto"/>
            <w:right w:val="none" w:sz="0" w:space="0" w:color="auto"/>
          </w:divBdr>
        </w:div>
        <w:div w:id="2050259853">
          <w:marLeft w:val="720"/>
          <w:marRight w:val="0"/>
          <w:marTop w:val="280"/>
          <w:marBottom w:val="0"/>
          <w:divBdr>
            <w:top w:val="none" w:sz="0" w:space="0" w:color="auto"/>
            <w:left w:val="none" w:sz="0" w:space="0" w:color="auto"/>
            <w:bottom w:val="none" w:sz="0" w:space="0" w:color="auto"/>
            <w:right w:val="none" w:sz="0" w:space="0" w:color="auto"/>
          </w:divBdr>
        </w:div>
        <w:div w:id="270477910">
          <w:marLeft w:val="720"/>
          <w:marRight w:val="0"/>
          <w:marTop w:val="28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risac@purdue.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F6F02-AD71-48DA-BD7B-506E2ED7A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4917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 Acheson-Clair</dc:creator>
  <cp:lastModifiedBy>Acheson-Clair, Kris</cp:lastModifiedBy>
  <cp:revision>2</cp:revision>
  <dcterms:created xsi:type="dcterms:W3CDTF">2019-06-21T14:43:00Z</dcterms:created>
  <dcterms:modified xsi:type="dcterms:W3CDTF">2019-06-21T14:43:00Z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zotero-version="5.0.61"&gt;&lt;session id="T9DHkjmV"/&gt;&lt;style id="http://www.zotero.org/styles/apa" locale="en-US" hasBibliography="1" bibliographyStyleHasBeenSet="1"/&gt;&lt;prefs&gt;&lt;pref name="fieldType" value="Field"/&gt;&lt;pref name="storeReference</vt:lpwstr>
  </property>
  <property fmtid="{D5CDD505-2E9C-101B-9397-08002B2CF9AE}" pid="3" name="ZOTERO_PREF_2">
    <vt:lpwstr>s" value="true"/&gt;&lt;pref name="automaticJournalAbbreviations" value="true"/&gt;&lt;/prefs&gt;&lt;/data&gt;</vt:lpwstr>
  </property>
</Properties>
</file>