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F3658" w14:textId="77777777" w:rsidR="00DB2149" w:rsidRDefault="00DB2149" w:rsidP="00DB2149">
      <w:pPr>
        <w:pStyle w:val="Heading1"/>
      </w:pPr>
      <w:r>
        <w:t>Task 1:</w:t>
      </w:r>
    </w:p>
    <w:p w14:paraId="60163D06" w14:textId="120E69D8" w:rsidR="00DB2149" w:rsidRDefault="00DB2149" w:rsidP="004633C8">
      <w:pPr>
        <w:pStyle w:val="NoSpacing"/>
        <w:numPr>
          <w:ilvl w:val="0"/>
          <w:numId w:val="30"/>
        </w:numPr>
        <w:ind w:left="360"/>
      </w:pPr>
      <w:r>
        <w:t>Complete the Pre-IDI assessment and schedule your individual IDI Debrief with your course instructor.</w:t>
      </w:r>
    </w:p>
    <w:p w14:paraId="5E12FC8C" w14:textId="77777777" w:rsidR="00DB2149" w:rsidRDefault="00DB2149" w:rsidP="004633C8">
      <w:pPr>
        <w:pStyle w:val="NoSpacing"/>
        <w:ind w:left="360"/>
      </w:pPr>
    </w:p>
    <w:p w14:paraId="5317DC0C" w14:textId="6074AB6B" w:rsidR="00AC72DD" w:rsidRPr="00AC72DD" w:rsidRDefault="00AC72DD" w:rsidP="004633C8">
      <w:pPr>
        <w:pStyle w:val="NoSpacing"/>
        <w:numPr>
          <w:ilvl w:val="0"/>
          <w:numId w:val="30"/>
        </w:numPr>
        <w:ind w:left="360"/>
      </w:pPr>
      <w:r w:rsidRPr="00AC72DD">
        <w:t xml:space="preserve">Following </w:t>
      </w:r>
      <w:r w:rsidR="00635DB7">
        <w:t>your individual IDI debriefing</w:t>
      </w:r>
      <w:r w:rsidRPr="00AC72DD">
        <w:t xml:space="preserve"> you will need to complete the assignment</w:t>
      </w:r>
      <w:r>
        <w:t>s below</w:t>
      </w:r>
      <w:r w:rsidRPr="00AC72DD">
        <w:t xml:space="preserve"> as independent work</w:t>
      </w:r>
      <w:r w:rsidR="00873ED4">
        <w:t xml:space="preserve"> </w:t>
      </w:r>
      <w:r w:rsidR="000577B0">
        <w:t xml:space="preserve">and </w:t>
      </w:r>
      <w:r w:rsidRPr="00AC72DD">
        <w:t xml:space="preserve">bring </w:t>
      </w:r>
      <w:r w:rsidR="000577B0">
        <w:t xml:space="preserve">each activity with you to the </w:t>
      </w:r>
      <w:r w:rsidR="00C91C4D">
        <w:t>first workshop</w:t>
      </w:r>
      <w:r w:rsidR="000577B0">
        <w:t xml:space="preserve"> on September 12</w:t>
      </w:r>
      <w:r w:rsidR="000577B0" w:rsidRPr="000577B0">
        <w:rPr>
          <w:vertAlign w:val="superscript"/>
        </w:rPr>
        <w:t>th</w:t>
      </w:r>
      <w:r w:rsidR="000577B0">
        <w:t xml:space="preserve"> in KNOY B019</w:t>
      </w:r>
      <w:r w:rsidR="00AC1424">
        <w:t xml:space="preserve">, </w:t>
      </w:r>
      <w:r w:rsidR="00335FD7">
        <w:t>1:30-3:00</w:t>
      </w:r>
      <w:r w:rsidR="00AC1424">
        <w:t>PM</w:t>
      </w:r>
      <w:r w:rsidRPr="00AC72DD">
        <w:t>.</w:t>
      </w:r>
    </w:p>
    <w:p w14:paraId="1AD0C499" w14:textId="77777777" w:rsidR="00AC72DD" w:rsidRPr="00AC72DD" w:rsidRDefault="00AC72DD" w:rsidP="004633C8">
      <w:pPr>
        <w:pStyle w:val="NoSpacing"/>
      </w:pPr>
    </w:p>
    <w:p w14:paraId="0AB72517" w14:textId="55618FA6" w:rsidR="00F454A6" w:rsidRPr="00AC72DD" w:rsidRDefault="00F454A6" w:rsidP="004633C8">
      <w:pPr>
        <w:pStyle w:val="NoSpacing"/>
      </w:pPr>
      <w:r w:rsidRPr="00AC72DD">
        <w:t>This assignment is intended to help you create appropriate goals. The following criteria have been set for the Benchmark, Milestones, and Capstone levels of proficiency for the Integrative Learnin</w:t>
      </w:r>
      <w:bookmarkStart w:id="0" w:name="_GoBack"/>
      <w:bookmarkEnd w:id="0"/>
      <w:r w:rsidRPr="00AC72DD">
        <w:t>g VALUE Rubric &amp; Problem Solving VALUE Rubric:</w:t>
      </w:r>
    </w:p>
    <w:p w14:paraId="4C6340A4" w14:textId="61D1E8D6" w:rsidR="000151AD" w:rsidRPr="00AC72DD" w:rsidRDefault="000151AD" w:rsidP="000151AD">
      <w:pPr>
        <w:rPr>
          <w:rFonts w:ascii="Myriad Pro" w:hAnsi="Myriad Pro"/>
          <w:b/>
          <w:bCs/>
          <w:sz w:val="22"/>
          <w:u w:val="single"/>
        </w:rPr>
      </w:pPr>
    </w:p>
    <w:tbl>
      <w:tblPr>
        <w:tblStyle w:val="TableGrid"/>
        <w:tblW w:w="9666" w:type="dxa"/>
        <w:tblInd w:w="-185" w:type="dxa"/>
        <w:tblLook w:val="04A0" w:firstRow="1" w:lastRow="0" w:firstColumn="1" w:lastColumn="0" w:noHBand="0" w:noVBand="1"/>
      </w:tblPr>
      <w:tblGrid>
        <w:gridCol w:w="1963"/>
        <w:gridCol w:w="1629"/>
        <w:gridCol w:w="1887"/>
        <w:gridCol w:w="2058"/>
        <w:gridCol w:w="2129"/>
      </w:tblGrid>
      <w:tr w:rsidR="00F454A6" w:rsidRPr="00AC72DD" w14:paraId="7F0F2B10" w14:textId="44E78EBA" w:rsidTr="00F454A6">
        <w:trPr>
          <w:trHeight w:val="249"/>
          <w:tblHeader/>
        </w:trPr>
        <w:tc>
          <w:tcPr>
            <w:tcW w:w="1963" w:type="dxa"/>
          </w:tcPr>
          <w:p w14:paraId="6782A654" w14:textId="2A261799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</w:p>
        </w:tc>
        <w:tc>
          <w:tcPr>
            <w:tcW w:w="1629" w:type="dxa"/>
          </w:tcPr>
          <w:p w14:paraId="1A33DBCE" w14:textId="0217441D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  <w:r w:rsidRPr="00AC72DD">
              <w:rPr>
                <w:b/>
                <w:bCs/>
                <w:szCs w:val="18"/>
              </w:rPr>
              <w:t>Benchmark 1</w:t>
            </w:r>
          </w:p>
        </w:tc>
        <w:tc>
          <w:tcPr>
            <w:tcW w:w="1887" w:type="dxa"/>
          </w:tcPr>
          <w:p w14:paraId="528427E8" w14:textId="36F557DE" w:rsidR="00F454A6" w:rsidRPr="00AC72DD" w:rsidRDefault="00F454A6" w:rsidP="00F454A6">
            <w:pPr>
              <w:pStyle w:val="Subtitle"/>
              <w:spacing w:after="0"/>
              <w:contextualSpacing/>
              <w:rPr>
                <w:b/>
                <w:bCs/>
                <w:szCs w:val="18"/>
              </w:rPr>
            </w:pPr>
            <w:r w:rsidRPr="00AC72DD">
              <w:rPr>
                <w:b/>
                <w:bCs/>
                <w:szCs w:val="18"/>
              </w:rPr>
              <w:t>Milestone 2</w:t>
            </w:r>
          </w:p>
        </w:tc>
        <w:tc>
          <w:tcPr>
            <w:tcW w:w="2058" w:type="dxa"/>
          </w:tcPr>
          <w:p w14:paraId="32FBC05B" w14:textId="342C668C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  <w:r w:rsidRPr="00AC72DD">
              <w:rPr>
                <w:b/>
                <w:bCs/>
                <w:szCs w:val="18"/>
              </w:rPr>
              <w:t>Milestone 3</w:t>
            </w:r>
          </w:p>
        </w:tc>
        <w:tc>
          <w:tcPr>
            <w:tcW w:w="2129" w:type="dxa"/>
          </w:tcPr>
          <w:p w14:paraId="025B4FA3" w14:textId="2666C7A7" w:rsidR="00F454A6" w:rsidRPr="00AC72DD" w:rsidRDefault="00F454A6" w:rsidP="00F454A6">
            <w:pPr>
              <w:pStyle w:val="Subtitle"/>
              <w:spacing w:after="0"/>
              <w:contextualSpacing/>
              <w:rPr>
                <w:b/>
                <w:bCs/>
                <w:szCs w:val="18"/>
              </w:rPr>
            </w:pPr>
            <w:r w:rsidRPr="00AC72DD">
              <w:rPr>
                <w:b/>
                <w:bCs/>
                <w:szCs w:val="18"/>
              </w:rPr>
              <w:t>Capstone 4</w:t>
            </w:r>
          </w:p>
        </w:tc>
      </w:tr>
      <w:tr w:rsidR="00F454A6" w:rsidRPr="00AC72DD" w14:paraId="6EC747A6" w14:textId="040AE06F" w:rsidTr="00F454A6">
        <w:trPr>
          <w:trHeight w:val="1216"/>
        </w:trPr>
        <w:tc>
          <w:tcPr>
            <w:tcW w:w="1963" w:type="dxa"/>
          </w:tcPr>
          <w:p w14:paraId="40E4B97B" w14:textId="4199C30E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  <w:r w:rsidRPr="00AC72DD">
              <w:rPr>
                <w:b/>
                <w:bCs/>
                <w:szCs w:val="18"/>
              </w:rPr>
              <w:t>Creative Thinking Rubric:</w:t>
            </w:r>
          </w:p>
          <w:p w14:paraId="21AC8BD6" w14:textId="330C8067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  <w:r w:rsidRPr="00AC72DD">
              <w:rPr>
                <w:i/>
                <w:iCs/>
                <w:szCs w:val="18"/>
              </w:rPr>
              <w:t>Solving Problems</w:t>
            </w:r>
            <w:r w:rsidRPr="00AC72DD">
              <w:rPr>
                <w:noProof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01A6B016" wp14:editId="72BDE61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181610</wp:posOffset>
                  </wp:positionV>
                  <wp:extent cx="1032510" cy="742950"/>
                  <wp:effectExtent l="19050" t="19050" r="15240" b="19050"/>
                  <wp:wrapTight wrapText="bothSides">
                    <wp:wrapPolygon edited="0">
                      <wp:start x="-399" y="-554"/>
                      <wp:lineTo x="-399" y="21600"/>
                      <wp:lineTo x="21520" y="21600"/>
                      <wp:lineTo x="21520" y="-554"/>
                      <wp:lineTo x="-399" y="-55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Professiona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7429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9" w:type="dxa"/>
          </w:tcPr>
          <w:p w14:paraId="737D56A6" w14:textId="3FB06ED9" w:rsidR="00F454A6" w:rsidRPr="00AC72DD" w:rsidRDefault="00F454A6" w:rsidP="00F454A6">
            <w:pPr>
              <w:pStyle w:val="Subtitle"/>
              <w:spacing w:after="0"/>
              <w:contextualSpacing/>
              <w:rPr>
                <w:rFonts w:cs="Garamond-Light"/>
                <w:szCs w:val="18"/>
              </w:rPr>
            </w:pPr>
            <w:r w:rsidRPr="00AC72DD">
              <w:rPr>
                <w:rFonts w:cs="Garamond-Light"/>
                <w:szCs w:val="18"/>
              </w:rPr>
              <w:t>Only a single approach is considered and is used to solve the problem.</w:t>
            </w:r>
          </w:p>
        </w:tc>
        <w:tc>
          <w:tcPr>
            <w:tcW w:w="1887" w:type="dxa"/>
          </w:tcPr>
          <w:p w14:paraId="73FE35F1" w14:textId="797709DE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  <w:r w:rsidRPr="00AC72DD">
              <w:rPr>
                <w:szCs w:val="18"/>
              </w:rPr>
              <w:t>Considers and rejects less acceptable approaches to solving problem.</w:t>
            </w:r>
          </w:p>
        </w:tc>
        <w:tc>
          <w:tcPr>
            <w:tcW w:w="2058" w:type="dxa"/>
          </w:tcPr>
          <w:p w14:paraId="119A7D58" w14:textId="6BBE09B8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  <w:r w:rsidRPr="00AC72DD">
              <w:rPr>
                <w:szCs w:val="18"/>
              </w:rPr>
              <w:t>Having selected from alternatives, develops a logical and consistent plan to solve the problem.</w:t>
            </w:r>
          </w:p>
        </w:tc>
        <w:tc>
          <w:tcPr>
            <w:tcW w:w="2129" w:type="dxa"/>
          </w:tcPr>
          <w:p w14:paraId="3050A8FE" w14:textId="0E3767E7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  <w:r w:rsidRPr="00AC72DD">
              <w:rPr>
                <w:szCs w:val="18"/>
              </w:rPr>
              <w:t>Not only develops a logical, consistent plan to solve problem, but recognizes consequences of the solution and can articulate reasons for choosing a solution.</w:t>
            </w:r>
          </w:p>
        </w:tc>
      </w:tr>
      <w:tr w:rsidR="00F454A6" w:rsidRPr="00AC72DD" w14:paraId="3F65A2BB" w14:textId="216FD841" w:rsidTr="00F454A6">
        <w:trPr>
          <w:trHeight w:val="1446"/>
        </w:trPr>
        <w:tc>
          <w:tcPr>
            <w:tcW w:w="1963" w:type="dxa"/>
            <w:shd w:val="clear" w:color="auto" w:fill="auto"/>
          </w:tcPr>
          <w:p w14:paraId="25334388" w14:textId="7FDFE83D" w:rsidR="00F454A6" w:rsidRPr="00AC72DD" w:rsidRDefault="00F454A6" w:rsidP="00F454A6">
            <w:pPr>
              <w:pStyle w:val="Subtitle"/>
              <w:spacing w:after="0"/>
              <w:contextualSpacing/>
              <w:rPr>
                <w:color w:val="000000"/>
                <w:szCs w:val="18"/>
              </w:rPr>
            </w:pPr>
            <w:r w:rsidRPr="00AC72DD">
              <w:rPr>
                <w:b/>
                <w:bCs/>
                <w:color w:val="000000"/>
                <w:szCs w:val="18"/>
              </w:rPr>
              <w:t>Problem Solving Rubric:</w:t>
            </w:r>
          </w:p>
          <w:p w14:paraId="3AB27CAB" w14:textId="5C5B0BA0" w:rsidR="00F454A6" w:rsidRPr="00AC72DD" w:rsidRDefault="00F454A6" w:rsidP="00F454A6">
            <w:pPr>
              <w:pStyle w:val="Subtitle"/>
              <w:spacing w:after="0"/>
              <w:contextualSpacing/>
              <w:rPr>
                <w:color w:val="000000"/>
                <w:szCs w:val="18"/>
              </w:rPr>
            </w:pPr>
            <w:r w:rsidRPr="00AC72DD">
              <w:rPr>
                <w:i/>
                <w:iCs/>
                <w:color w:val="000000"/>
                <w:szCs w:val="18"/>
              </w:rPr>
              <w:t>Identify Strategies</w:t>
            </w:r>
            <w:r w:rsidRPr="00AC72DD">
              <w:rPr>
                <w:noProof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2BD9EB78" wp14:editId="622B151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175260</wp:posOffset>
                  </wp:positionV>
                  <wp:extent cx="1032510" cy="742950"/>
                  <wp:effectExtent l="19050" t="19050" r="15240" b="19050"/>
                  <wp:wrapTight wrapText="bothSides">
                    <wp:wrapPolygon edited="0">
                      <wp:start x="-399" y="-554"/>
                      <wp:lineTo x="-399" y="21600"/>
                      <wp:lineTo x="21520" y="21600"/>
                      <wp:lineTo x="21520" y="-554"/>
                      <wp:lineTo x="-399" y="-55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Professiona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7429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9" w:type="dxa"/>
          </w:tcPr>
          <w:p w14:paraId="6C6571CD" w14:textId="4B9AE64B" w:rsidR="00F454A6" w:rsidRPr="00AC72DD" w:rsidRDefault="00F454A6" w:rsidP="00F454A6">
            <w:pPr>
              <w:pStyle w:val="Subtitle"/>
              <w:spacing w:after="0"/>
              <w:contextualSpacing/>
              <w:rPr>
                <w:rFonts w:cs="Garamond-Light"/>
                <w:szCs w:val="18"/>
              </w:rPr>
            </w:pPr>
            <w:r w:rsidRPr="00AC72DD">
              <w:rPr>
                <w:rFonts w:cs="Garamond-Light"/>
                <w:szCs w:val="18"/>
              </w:rPr>
              <w:t>Identifies one or more approaches for solving the problem that do not apply within a specific context.</w:t>
            </w:r>
          </w:p>
        </w:tc>
        <w:tc>
          <w:tcPr>
            <w:tcW w:w="1887" w:type="dxa"/>
          </w:tcPr>
          <w:p w14:paraId="0ACBC2D5" w14:textId="36A3E1B1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  <w:r w:rsidRPr="00AC72DD">
              <w:rPr>
                <w:rFonts w:eastAsia="Garamond" w:cs="Garamond"/>
                <w:szCs w:val="18"/>
              </w:rPr>
              <w:t xml:space="preserve">Identifies only a single approach for solving the problem that applies within a specific context. </w:t>
            </w:r>
          </w:p>
        </w:tc>
        <w:tc>
          <w:tcPr>
            <w:tcW w:w="2058" w:type="dxa"/>
            <w:shd w:val="clear" w:color="auto" w:fill="auto"/>
          </w:tcPr>
          <w:p w14:paraId="45FE1482" w14:textId="4816125A" w:rsidR="00F454A6" w:rsidRPr="00AC72DD" w:rsidRDefault="00F454A6" w:rsidP="00F454A6">
            <w:pPr>
              <w:pStyle w:val="Subtitle"/>
              <w:spacing w:after="0"/>
              <w:contextualSpacing/>
              <w:rPr>
                <w:szCs w:val="18"/>
              </w:rPr>
            </w:pPr>
            <w:r w:rsidRPr="00AC72DD">
              <w:rPr>
                <w:szCs w:val="18"/>
              </w:rPr>
              <w:t>Identifies multiple approaches for solving the problem, only some of which apply within a specific context.</w:t>
            </w:r>
          </w:p>
        </w:tc>
        <w:tc>
          <w:tcPr>
            <w:tcW w:w="2129" w:type="dxa"/>
          </w:tcPr>
          <w:p w14:paraId="5AC804D9" w14:textId="11CAD260" w:rsidR="00F454A6" w:rsidRPr="00AC72DD" w:rsidRDefault="00F454A6" w:rsidP="00F454A6">
            <w:pPr>
              <w:pStyle w:val="Subtitle"/>
              <w:spacing w:after="0"/>
              <w:contextualSpacing/>
              <w:rPr>
                <w:rFonts w:eastAsia="Garamond" w:cs="Garamond"/>
                <w:szCs w:val="18"/>
              </w:rPr>
            </w:pPr>
            <w:r w:rsidRPr="00AC72DD">
              <w:rPr>
                <w:rFonts w:eastAsia="Garamond" w:cs="Garamond"/>
                <w:szCs w:val="18"/>
              </w:rPr>
              <w:t>Identifies multiple approaches for solving the problem that apply within a specific context.</w:t>
            </w:r>
          </w:p>
        </w:tc>
      </w:tr>
    </w:tbl>
    <w:p w14:paraId="16168B76" w14:textId="31C06F3C" w:rsidR="004A4B0E" w:rsidRPr="00AC72DD" w:rsidRDefault="00C64397" w:rsidP="00155B2D">
      <w:pPr>
        <w:pStyle w:val="Heading1"/>
      </w:pPr>
      <w:r>
        <w:t>Task</w:t>
      </w:r>
      <w:r w:rsidR="00DB2149">
        <w:t xml:space="preserve"> 2</w:t>
      </w:r>
      <w:r w:rsidR="004A4B0E" w:rsidRPr="00AC72DD">
        <w:t>:</w:t>
      </w:r>
      <w:r w:rsidR="00CA232A">
        <w:t xml:space="preserve"> S.M.A.R.T Goals</w:t>
      </w:r>
    </w:p>
    <w:p w14:paraId="77727241" w14:textId="2F26812F" w:rsidR="004A4B0E" w:rsidRPr="00CA232A" w:rsidRDefault="00554A98" w:rsidP="004633C8">
      <w:pPr>
        <w:pStyle w:val="NoSpacing"/>
        <w:rPr>
          <w:b/>
          <w:bCs/>
        </w:rPr>
      </w:pPr>
      <w:r w:rsidRPr="00554A98">
        <w:t>S</w:t>
      </w:r>
      <w:r w:rsidR="00985C57" w:rsidRPr="00554A98">
        <w:t>et</w:t>
      </w:r>
      <w:r w:rsidR="00985C57" w:rsidRPr="00AC72DD">
        <w:t xml:space="preserve"> yourself at least 4</w:t>
      </w:r>
      <w:r w:rsidR="000151AD" w:rsidRPr="00AC72DD">
        <w:t xml:space="preserve"> Specific </w:t>
      </w:r>
      <w:r w:rsidR="000151AD" w:rsidRPr="00AC72DD">
        <w:rPr>
          <w:u w:val="single"/>
        </w:rPr>
        <w:t>Culture-Learning</w:t>
      </w:r>
      <w:r w:rsidR="000151AD" w:rsidRPr="00AC72DD">
        <w:t xml:space="preserve"> Goals</w:t>
      </w:r>
      <w:r w:rsidR="00A236A7" w:rsidRPr="00AC72DD">
        <w:t xml:space="preserve">. If language acquisition is </w:t>
      </w:r>
      <w:r w:rsidR="00AC72DD">
        <w:t>a primary concern</w:t>
      </w:r>
      <w:r w:rsidR="00A236A7" w:rsidRPr="00AC72DD">
        <w:t xml:space="preserve">, please also include 3 Specific Linguistic Goals. </w:t>
      </w:r>
      <w:r w:rsidR="00CA232A">
        <w:t>Please include one goal that addresses the requirement of sharing your professional/academic work with Purdue Polytechnic Institute students.</w:t>
      </w:r>
      <w:r>
        <w:t xml:space="preserve"> </w:t>
      </w:r>
      <w:r w:rsidR="00CA232A">
        <w:t xml:space="preserve">We use the S.M.A.R.T. goal method: </w:t>
      </w:r>
      <w:r w:rsidR="00CA232A" w:rsidRPr="00CA232A">
        <w:rPr>
          <w:b/>
        </w:rPr>
        <w:t xml:space="preserve">Specific, Measurable, Attainable, Relevant, </w:t>
      </w:r>
      <w:r w:rsidR="00CA232A" w:rsidRPr="00CA232A">
        <w:t>and</w:t>
      </w:r>
      <w:r w:rsidR="00CA232A" w:rsidRPr="00CA232A">
        <w:rPr>
          <w:b/>
        </w:rPr>
        <w:t xml:space="preserve"> Timely</w:t>
      </w:r>
      <w:r w:rsidR="00CA232A">
        <w:t>.</w:t>
      </w:r>
      <w:r w:rsidR="00CA232A" w:rsidRPr="00CA232A">
        <w:t xml:space="preserve"> </w:t>
      </w:r>
      <w:r w:rsidR="00CA232A">
        <w:t>For</w:t>
      </w:r>
      <w:r w:rsidR="00CA232A" w:rsidRPr="00AC72DD">
        <w:t xml:space="preserve"> each </w:t>
      </w:r>
      <w:r w:rsidR="00CA232A" w:rsidRPr="00CA232A">
        <w:rPr>
          <w:b/>
        </w:rPr>
        <w:t>specific</w:t>
      </w:r>
      <w:r w:rsidR="00CA232A" w:rsidRPr="00AC72DD">
        <w:t xml:space="preserve"> goal, </w:t>
      </w:r>
      <w:r w:rsidR="00CA232A">
        <w:t>create an actionable task</w:t>
      </w:r>
      <w:r w:rsidR="00CA232A" w:rsidRPr="00AC72DD">
        <w:t xml:space="preserve"> which is </w:t>
      </w:r>
      <w:r w:rsidR="00CA232A" w:rsidRPr="00CA232A">
        <w:rPr>
          <w:b/>
        </w:rPr>
        <w:t>measurable</w:t>
      </w:r>
      <w:r w:rsidR="00CA232A" w:rsidRPr="00AC72DD">
        <w:t xml:space="preserve">, </w:t>
      </w:r>
      <w:r w:rsidR="00CA232A" w:rsidRPr="00CA232A">
        <w:rPr>
          <w:b/>
        </w:rPr>
        <w:t>attainable</w:t>
      </w:r>
      <w:r w:rsidR="00CA232A" w:rsidRPr="00AC72DD">
        <w:t xml:space="preserve"> </w:t>
      </w:r>
      <w:r w:rsidR="00CA232A">
        <w:t>and</w:t>
      </w:r>
      <w:r w:rsidR="00CA232A" w:rsidRPr="00AC72DD">
        <w:t xml:space="preserve"> </w:t>
      </w:r>
      <w:r w:rsidR="00CA232A">
        <w:rPr>
          <w:b/>
        </w:rPr>
        <w:t>relevant</w:t>
      </w:r>
      <w:r w:rsidR="00CA232A" w:rsidRPr="00AC72DD">
        <w:t xml:space="preserve"> for you to undertake </w:t>
      </w:r>
      <w:r w:rsidR="00CA232A">
        <w:t xml:space="preserve">during your </w:t>
      </w:r>
      <w:r w:rsidR="00CA232A" w:rsidRPr="00CA232A">
        <w:rPr>
          <w:b/>
        </w:rPr>
        <w:t>time</w:t>
      </w:r>
      <w:r w:rsidR="00CA232A">
        <w:t xml:space="preserve"> at Purdue </w:t>
      </w:r>
      <w:r w:rsidR="00CA232A" w:rsidRPr="00AC72DD">
        <w:t>in order to achieve that goal.</w:t>
      </w:r>
      <w:r w:rsidR="00CA232A">
        <w:t xml:space="preserve"> (See the attached sample.)</w:t>
      </w:r>
    </w:p>
    <w:p w14:paraId="7DC8DA14" w14:textId="7723543C" w:rsidR="00DB480F" w:rsidRPr="00AC72DD" w:rsidRDefault="00C64397" w:rsidP="00155B2D">
      <w:pPr>
        <w:pStyle w:val="Heading1"/>
      </w:pPr>
      <w:r>
        <w:t>Task</w:t>
      </w:r>
      <w:r w:rsidR="00DB2149">
        <w:t xml:space="preserve"> 3</w:t>
      </w:r>
      <w:r w:rsidR="00DB480F" w:rsidRPr="00AC72DD">
        <w:t>:</w:t>
      </w:r>
    </w:p>
    <w:p w14:paraId="543C4A38" w14:textId="7A56C464" w:rsidR="00C91C4D" w:rsidRDefault="00554A98" w:rsidP="004633C8">
      <w:pPr>
        <w:pStyle w:val="NoSpacing"/>
        <w:rPr>
          <w:b/>
          <w:bCs/>
        </w:rPr>
      </w:pPr>
      <w:r>
        <w:t>W</w:t>
      </w:r>
      <w:r w:rsidR="00C91C4D">
        <w:t>rite</w:t>
      </w:r>
      <w:r w:rsidR="00DB480F" w:rsidRPr="00AC72DD">
        <w:t xml:space="preserve"> an autobiography</w:t>
      </w:r>
      <w:r>
        <w:t xml:space="preserve"> (approximately 250-300 words)</w:t>
      </w:r>
      <w:r w:rsidR="00DB480F" w:rsidRPr="00AC72DD">
        <w:t xml:space="preserve"> that briefly intro</w:t>
      </w:r>
      <w:r w:rsidR="00DB480F" w:rsidRPr="00C91C4D">
        <w:t xml:space="preserve">duces </w:t>
      </w:r>
      <w:r>
        <w:t xml:space="preserve">who you are, what field you are working in, who your PPI host professor is, </w:t>
      </w:r>
      <w:r w:rsidR="00C91C4D" w:rsidRPr="00C91C4D">
        <w:t xml:space="preserve">and at least </w:t>
      </w:r>
      <w:r w:rsidR="00DB480F" w:rsidRPr="00C91C4D">
        <w:t xml:space="preserve">2 </w:t>
      </w:r>
      <w:r w:rsidR="00DB480F" w:rsidRPr="00C91C4D">
        <w:rPr>
          <w:rStyle w:val="Emphasis"/>
          <w:i w:val="0"/>
          <w:color w:val="000000"/>
        </w:rPr>
        <w:t>cultural</w:t>
      </w:r>
      <w:r w:rsidR="00DB480F" w:rsidRPr="00C91C4D">
        <w:t xml:space="preserve"> factors </w:t>
      </w:r>
      <w:r w:rsidR="00C64397" w:rsidRPr="00C91C4D">
        <w:t xml:space="preserve">that </w:t>
      </w:r>
      <w:r w:rsidR="00AC72DD" w:rsidRPr="00C91C4D">
        <w:t>led you to become a visiting scholar at Purdue</w:t>
      </w:r>
      <w:r w:rsidR="00DB480F" w:rsidRPr="00C91C4D">
        <w:t>.</w:t>
      </w:r>
      <w:r w:rsidR="00DB480F" w:rsidRPr="00AC72DD">
        <w:t xml:space="preserve"> It may help you to think about your </w:t>
      </w:r>
      <w:r w:rsidR="00A236A7" w:rsidRPr="00AC72DD">
        <w:t xml:space="preserve">life </w:t>
      </w:r>
      <w:r w:rsidR="00DB480F" w:rsidRPr="00AC72DD">
        <w:t>as a series of decisions or judgments that you have made. There are factors that have influenced these decisions</w:t>
      </w:r>
      <w:r w:rsidR="00A236A7" w:rsidRPr="00AC72DD">
        <w:t xml:space="preserve"> such as parents, friends, relatives, teachers, television, movies, books, etc</w:t>
      </w:r>
      <w:r w:rsidR="00DB480F" w:rsidRPr="00AC72DD">
        <w:t xml:space="preserve">. How have these </w:t>
      </w:r>
      <w:r w:rsidR="00AC72DD">
        <w:t xml:space="preserve">forces shaped </w:t>
      </w:r>
      <w:r w:rsidR="00CA232A">
        <w:t>the</w:t>
      </w:r>
      <w:r w:rsidR="00AC72DD">
        <w:t xml:space="preserve"> decisio</w:t>
      </w:r>
      <w:r w:rsidR="00C64397">
        <w:t>n</w:t>
      </w:r>
      <w:r w:rsidR="00AC72DD">
        <w:t>s</w:t>
      </w:r>
      <w:r w:rsidR="00CA232A">
        <w:t xml:space="preserve"> that led you here</w:t>
      </w:r>
      <w:r w:rsidR="00C91C4D">
        <w:t xml:space="preserve">? </w:t>
      </w:r>
    </w:p>
    <w:p w14:paraId="399626F5" w14:textId="77777777" w:rsidR="00C64397" w:rsidRDefault="00C64397" w:rsidP="004633C8">
      <w:pPr>
        <w:pStyle w:val="NoSpacing"/>
      </w:pPr>
    </w:p>
    <w:p w14:paraId="26A5AC70" w14:textId="697AF822" w:rsidR="00B0402D" w:rsidRPr="00554A98" w:rsidRDefault="00C64397" w:rsidP="004633C8">
      <w:pPr>
        <w:pStyle w:val="NoSpacing"/>
      </w:pPr>
      <w:r w:rsidRPr="00554A98">
        <w:t xml:space="preserve">Be prepared to </w:t>
      </w:r>
      <w:r w:rsidR="00C91C4D" w:rsidRPr="00554A98">
        <w:t>share and discuss</w:t>
      </w:r>
      <w:r w:rsidRPr="00554A98">
        <w:t xml:space="preserve"> </w:t>
      </w:r>
      <w:r w:rsidR="006769A1" w:rsidRPr="00554A98">
        <w:t>your goals</w:t>
      </w:r>
      <w:r w:rsidRPr="00554A98">
        <w:t xml:space="preserve"> </w:t>
      </w:r>
      <w:r w:rsidR="00C91C4D" w:rsidRPr="00554A98">
        <w:t xml:space="preserve">and biography </w:t>
      </w:r>
      <w:r w:rsidRPr="00554A98">
        <w:t xml:space="preserve">during </w:t>
      </w:r>
      <w:r w:rsidR="00C91C4D" w:rsidRPr="00554A98">
        <w:t>our first Workshop</w:t>
      </w:r>
      <w:r w:rsidRPr="00554A98">
        <w:t>.</w:t>
      </w:r>
      <w:r w:rsidR="00DB480F" w:rsidRPr="00554A98">
        <w:t xml:space="preserve"> </w:t>
      </w:r>
    </w:p>
    <w:p w14:paraId="27600CA7" w14:textId="08FEFEDB" w:rsidR="00C64397" w:rsidRPr="00C91C4D" w:rsidRDefault="00C64397" w:rsidP="00C91C4D">
      <w:pPr>
        <w:pStyle w:val="Heading2"/>
      </w:pPr>
      <w:r w:rsidRPr="00C91C4D">
        <w:t>SAMPLE</w:t>
      </w:r>
    </w:p>
    <w:p w14:paraId="29918051" w14:textId="20EC0E66" w:rsidR="002A2F6C" w:rsidRDefault="00B63EF3" w:rsidP="00C91C4D">
      <w:pPr>
        <w:pStyle w:val="Heading2"/>
      </w:pPr>
      <w:r w:rsidRPr="00AC72DD">
        <w:t>Typical</w:t>
      </w:r>
      <w:r w:rsidR="008E1324" w:rsidRPr="00AC72DD">
        <w:t xml:space="preserve"> Linguistic Goal</w:t>
      </w:r>
      <w:r w:rsidR="00C91C4D">
        <w:t xml:space="preserve"> that is too vague</w:t>
      </w:r>
      <w:r w:rsidR="008E1324" w:rsidRPr="00AC72DD">
        <w:t xml:space="preserve">: </w:t>
      </w:r>
      <w:r w:rsidRPr="00AC72DD">
        <w:t xml:space="preserve">“I want to become fluent in </w:t>
      </w:r>
      <w:r w:rsidR="00C91C4D">
        <w:t>English</w:t>
      </w:r>
      <w:r w:rsidRPr="00AC72DD">
        <w:t>.”</w:t>
      </w:r>
    </w:p>
    <w:p w14:paraId="1AF134ED" w14:textId="328821B8" w:rsidR="00C91C4D" w:rsidRDefault="00C91C4D" w:rsidP="00C91C4D">
      <w:pPr>
        <w:rPr>
          <w:rFonts w:hint="eastAsia"/>
        </w:rPr>
      </w:pPr>
    </w:p>
    <w:p w14:paraId="2B825D79" w14:textId="1C153596" w:rsidR="00C91C4D" w:rsidRPr="00C91C4D" w:rsidRDefault="00C91C4D" w:rsidP="00C91C4D">
      <w:pPr>
        <w:rPr>
          <w:rFonts w:ascii="Myriad Pro" w:hAnsi="Myriad Pro"/>
        </w:rPr>
      </w:pPr>
      <w:r w:rsidRPr="00C91C4D">
        <w:rPr>
          <w:rFonts w:ascii="Myriad Pro" w:hAnsi="Myriad Pro"/>
        </w:rPr>
        <w:t>These are better:</w:t>
      </w:r>
    </w:p>
    <w:tbl>
      <w:tblPr>
        <w:tblW w:w="936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8"/>
        <w:gridCol w:w="4922"/>
      </w:tblGrid>
      <w:tr w:rsidR="002A2F6C" w:rsidRPr="00AC72DD" w14:paraId="29918054" w14:textId="77777777" w:rsidTr="00EF5D6A">
        <w:trPr>
          <w:trHeight w:val="232"/>
          <w:tblHeader/>
        </w:trPr>
        <w:tc>
          <w:tcPr>
            <w:tcW w:w="4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000"/>
            <w:tcMar>
              <w:left w:w="42" w:type="dxa"/>
            </w:tcMar>
          </w:tcPr>
          <w:p w14:paraId="29918052" w14:textId="63472053" w:rsidR="002A2F6C" w:rsidRPr="00AC72DD" w:rsidRDefault="00B63EF3" w:rsidP="004633C8">
            <w:pPr>
              <w:pStyle w:val="NoSpacing"/>
            </w:pPr>
            <w:r w:rsidRPr="00AC72DD">
              <w:lastRenderedPageBreak/>
              <w:t xml:space="preserve">Specific Linguistic </w:t>
            </w:r>
            <w:r w:rsidR="001B1DD5" w:rsidRPr="00AC72DD">
              <w:t>Goal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/>
            <w:tcMar>
              <w:left w:w="42" w:type="dxa"/>
            </w:tcMar>
          </w:tcPr>
          <w:p w14:paraId="29918053" w14:textId="77777777" w:rsidR="002A2F6C" w:rsidRPr="00AC72DD" w:rsidRDefault="00B63EF3" w:rsidP="004633C8">
            <w:pPr>
              <w:pStyle w:val="NoSpacing"/>
            </w:pPr>
            <w:r w:rsidRPr="00AC72DD">
              <w:t>Measurable, Attainable &amp; Realistic Target(s)</w:t>
            </w:r>
          </w:p>
        </w:tc>
      </w:tr>
      <w:tr w:rsidR="002A2F6C" w:rsidRPr="00AC72DD" w14:paraId="29918058" w14:textId="77777777" w:rsidTr="00EF5D6A">
        <w:trPr>
          <w:trHeight w:val="903"/>
        </w:trPr>
        <w:tc>
          <w:tcPr>
            <w:tcW w:w="4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18055" w14:textId="74991448" w:rsidR="002A2F6C" w:rsidRPr="00AC72DD" w:rsidRDefault="00B63EF3" w:rsidP="004633C8">
            <w:pPr>
              <w:pStyle w:val="NoSpacing"/>
              <w:numPr>
                <w:ilvl w:val="0"/>
                <w:numId w:val="33"/>
              </w:numPr>
            </w:pPr>
            <w:r w:rsidRPr="00AC72DD">
              <w:t xml:space="preserve">Develop a larger, more professional vocabulary 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18056" w14:textId="634681FE" w:rsidR="002A2F6C" w:rsidRPr="00AC72DD" w:rsidRDefault="00B63EF3" w:rsidP="004633C8">
            <w:pPr>
              <w:pStyle w:val="NoSpacing"/>
              <w:numPr>
                <w:ilvl w:val="0"/>
                <w:numId w:val="34"/>
              </w:numPr>
            </w:pPr>
            <w:r w:rsidRPr="00AC72DD">
              <w:t xml:space="preserve">I will keep a weekly list of new vocabulary words, particularly as related to science &amp; engineering (or agriculture, health, </w:t>
            </w:r>
            <w:proofErr w:type="spellStart"/>
            <w:r w:rsidRPr="00AC72DD">
              <w:t>etc</w:t>
            </w:r>
            <w:proofErr w:type="spellEnd"/>
            <w:r w:rsidRPr="00AC72DD">
              <w:t>).</w:t>
            </w:r>
          </w:p>
          <w:p w14:paraId="29918057" w14:textId="24DAB55B" w:rsidR="002A2F6C" w:rsidRPr="00AC72DD" w:rsidRDefault="00B63EF3" w:rsidP="004633C8">
            <w:pPr>
              <w:pStyle w:val="NoSpacing"/>
              <w:numPr>
                <w:ilvl w:val="0"/>
                <w:numId w:val="33"/>
              </w:numPr>
            </w:pPr>
            <w:r w:rsidRPr="00AC72DD">
              <w:t>I will use 10 new words per week, at least twice.</w:t>
            </w:r>
          </w:p>
        </w:tc>
      </w:tr>
      <w:tr w:rsidR="002A2F6C" w:rsidRPr="00AC72DD" w14:paraId="2991805C" w14:textId="77777777" w:rsidTr="00EF5D6A">
        <w:trPr>
          <w:trHeight w:val="903"/>
        </w:trPr>
        <w:tc>
          <w:tcPr>
            <w:tcW w:w="4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18059" w14:textId="1F956DB3" w:rsidR="002A2F6C" w:rsidRPr="00AC72DD" w:rsidRDefault="00B63EF3" w:rsidP="004633C8">
            <w:pPr>
              <w:pStyle w:val="NoSpacing"/>
              <w:numPr>
                <w:ilvl w:val="0"/>
                <w:numId w:val="37"/>
              </w:numPr>
            </w:pPr>
            <w:r w:rsidRPr="00AC72DD">
              <w:t xml:space="preserve">Improve </w:t>
            </w:r>
            <w:r w:rsidR="00C91C4D">
              <w:t>Pronunciation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9309A" w14:textId="77777777" w:rsidR="004633C8" w:rsidRDefault="00B63EF3" w:rsidP="004633C8">
            <w:pPr>
              <w:pStyle w:val="NoSpacing"/>
              <w:numPr>
                <w:ilvl w:val="0"/>
                <w:numId w:val="35"/>
              </w:numPr>
            </w:pPr>
            <w:r w:rsidRPr="00AC72DD">
              <w:t xml:space="preserve">Meet once per week with a </w:t>
            </w:r>
            <w:r w:rsidR="00C91C4D">
              <w:t>local</w:t>
            </w:r>
            <w:r w:rsidRPr="00AC72DD">
              <w:t xml:space="preserve"> for phonetic tutoring sessions</w:t>
            </w:r>
            <w:r w:rsidR="004633C8">
              <w:t>.</w:t>
            </w:r>
          </w:p>
          <w:p w14:paraId="2991805B" w14:textId="6908203A" w:rsidR="002A2F6C" w:rsidRPr="004633C8" w:rsidRDefault="00B63EF3" w:rsidP="004633C8">
            <w:pPr>
              <w:pStyle w:val="NoSpacing"/>
              <w:numPr>
                <w:ilvl w:val="0"/>
                <w:numId w:val="35"/>
              </w:numPr>
            </w:pPr>
            <w:r w:rsidRPr="00AC72DD">
              <w:t>“Tune” my ears by listening to local music or news broadcasts every day for at least 15 minutes.</w:t>
            </w:r>
          </w:p>
        </w:tc>
      </w:tr>
      <w:tr w:rsidR="002A2F6C" w:rsidRPr="00AC72DD" w14:paraId="29918062" w14:textId="77777777" w:rsidTr="00EF5D6A">
        <w:trPr>
          <w:trHeight w:val="507"/>
        </w:trPr>
        <w:tc>
          <w:tcPr>
            <w:tcW w:w="4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18060" w14:textId="0774A607" w:rsidR="002A2F6C" w:rsidRPr="00AC72DD" w:rsidRDefault="00B63EF3" w:rsidP="004633C8">
            <w:pPr>
              <w:pStyle w:val="NoSpacing"/>
              <w:numPr>
                <w:ilvl w:val="0"/>
                <w:numId w:val="37"/>
              </w:numPr>
            </w:pPr>
            <w:r w:rsidRPr="00AC72DD">
              <w:t>Be able to tell a joke (or give a professional “elevator speech”) convincingly in the host-country language.</w:t>
            </w:r>
            <w:r w:rsidRPr="00AC72DD">
              <w:rPr>
                <w:sz w:val="20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18061" w14:textId="59C3B99D" w:rsidR="002A2F6C" w:rsidRPr="00AC72DD" w:rsidRDefault="00B63EF3" w:rsidP="004633C8">
            <w:pPr>
              <w:pStyle w:val="NoSpacing"/>
              <w:numPr>
                <w:ilvl w:val="0"/>
                <w:numId w:val="36"/>
              </w:numPr>
            </w:pPr>
            <w:r w:rsidRPr="00AC72DD">
              <w:t>Write out &amp; practice at least one</w:t>
            </w:r>
            <w:r w:rsidR="008E1324" w:rsidRPr="00AC72DD">
              <w:t xml:space="preserve"> joke (or professional speech) </w:t>
            </w:r>
            <w:r w:rsidRPr="00AC72DD">
              <w:t>per week with a host-country national.</w:t>
            </w:r>
          </w:p>
        </w:tc>
      </w:tr>
    </w:tbl>
    <w:p w14:paraId="29918063" w14:textId="77777777" w:rsidR="002A2F6C" w:rsidRPr="00AC72DD" w:rsidRDefault="002A2F6C">
      <w:pPr>
        <w:rPr>
          <w:rFonts w:ascii="Myriad Pro" w:hAnsi="Myriad Pro"/>
          <w:sz w:val="14"/>
        </w:rPr>
      </w:pPr>
    </w:p>
    <w:p w14:paraId="29918065" w14:textId="74B57BDA" w:rsidR="002A2F6C" w:rsidRPr="00C91C4D" w:rsidRDefault="00B63EF3" w:rsidP="00C91C4D">
      <w:pPr>
        <w:pStyle w:val="Heading2"/>
      </w:pPr>
      <w:r w:rsidRPr="00C91C4D">
        <w:t>Typical Cultural Goal</w:t>
      </w:r>
      <w:r w:rsidR="00C91C4D" w:rsidRPr="00C91C4D">
        <w:t xml:space="preserve"> that is too vague</w:t>
      </w:r>
      <w:r w:rsidR="0074384A" w:rsidRPr="00C91C4D">
        <w:t>: “</w:t>
      </w:r>
      <w:r w:rsidRPr="00C91C4D">
        <w:t xml:space="preserve">I will understand </w:t>
      </w:r>
      <w:r w:rsidR="00C91C4D" w:rsidRPr="00C91C4D">
        <w:t>American</w:t>
      </w:r>
      <w:r w:rsidRPr="00C91C4D">
        <w:t xml:space="preserve"> culture through immersion.”</w:t>
      </w:r>
    </w:p>
    <w:p w14:paraId="715D5B85" w14:textId="258CEAF0" w:rsidR="00C91C4D" w:rsidRDefault="00C91C4D" w:rsidP="00C91C4D">
      <w:pPr>
        <w:rPr>
          <w:rFonts w:hint="eastAsia"/>
        </w:rPr>
      </w:pPr>
    </w:p>
    <w:p w14:paraId="2A1DC923" w14:textId="6961854D" w:rsidR="00C91C4D" w:rsidRPr="00C91C4D" w:rsidRDefault="00C91C4D" w:rsidP="00C91C4D">
      <w:pPr>
        <w:rPr>
          <w:rFonts w:ascii="Myriad Pro" w:hAnsi="Myriad Pro"/>
        </w:rPr>
      </w:pPr>
      <w:r w:rsidRPr="00C91C4D">
        <w:rPr>
          <w:rFonts w:ascii="Myriad Pro" w:hAnsi="Myriad Pro"/>
        </w:rPr>
        <w:t>These are better:</w:t>
      </w:r>
    </w:p>
    <w:tbl>
      <w:tblPr>
        <w:tblW w:w="936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5"/>
        <w:gridCol w:w="6375"/>
      </w:tblGrid>
      <w:tr w:rsidR="002A2F6C" w:rsidRPr="00AC72DD" w14:paraId="29918068" w14:textId="77777777" w:rsidTr="00EF5D6A">
        <w:trPr>
          <w:tblHeader/>
        </w:trPr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000"/>
            <w:tcMar>
              <w:left w:w="42" w:type="dxa"/>
            </w:tcMar>
          </w:tcPr>
          <w:p w14:paraId="29918066" w14:textId="77777777" w:rsidR="002A2F6C" w:rsidRPr="00AC72DD" w:rsidRDefault="00B63EF3" w:rsidP="004633C8">
            <w:pPr>
              <w:pStyle w:val="NoSpacing"/>
            </w:pPr>
            <w:r w:rsidRPr="00AC72DD">
              <w:t>Specific Culture Goal</w:t>
            </w:r>
          </w:p>
        </w:tc>
        <w:tc>
          <w:tcPr>
            <w:tcW w:w="6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/>
            <w:tcMar>
              <w:left w:w="42" w:type="dxa"/>
            </w:tcMar>
          </w:tcPr>
          <w:p w14:paraId="29918067" w14:textId="77777777" w:rsidR="002A2F6C" w:rsidRPr="00AC72DD" w:rsidRDefault="00B63EF3" w:rsidP="004633C8">
            <w:pPr>
              <w:pStyle w:val="NoSpacing"/>
            </w:pPr>
            <w:r w:rsidRPr="00AC72DD">
              <w:t>Measurable, Attainable &amp; Realistic Target(s)</w:t>
            </w:r>
          </w:p>
        </w:tc>
      </w:tr>
      <w:tr w:rsidR="002A2F6C" w:rsidRPr="00AC72DD" w14:paraId="2991806B" w14:textId="77777777" w:rsidTr="00EF5D6A"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18069" w14:textId="164A8438" w:rsidR="002A2F6C" w:rsidRPr="00AC72DD" w:rsidRDefault="00B63EF3" w:rsidP="004633C8">
            <w:pPr>
              <w:pStyle w:val="NoSpacing"/>
              <w:numPr>
                <w:ilvl w:val="0"/>
                <w:numId w:val="37"/>
              </w:numPr>
              <w:rPr>
                <w:sz w:val="20"/>
                <w:szCs w:val="22"/>
              </w:rPr>
            </w:pPr>
            <w:r w:rsidRPr="00AC72DD">
              <w:t>Learn to recognize non-verbal communication patterns in my new host culture</w:t>
            </w:r>
          </w:p>
        </w:tc>
        <w:tc>
          <w:tcPr>
            <w:tcW w:w="6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1806A" w14:textId="09F48973" w:rsidR="002A2F6C" w:rsidRPr="00AC72DD" w:rsidRDefault="00B63EF3" w:rsidP="004633C8">
            <w:pPr>
              <w:pStyle w:val="NoSpacing"/>
              <w:numPr>
                <w:ilvl w:val="0"/>
                <w:numId w:val="19"/>
              </w:numPr>
            </w:pPr>
            <w:r w:rsidRPr="00AC72DD">
              <w:t xml:space="preserve">Once per week, I will ask a local (or view an article/video) about </w:t>
            </w:r>
            <w:r w:rsidR="00C91C4D">
              <w:t>an American</w:t>
            </w:r>
            <w:r w:rsidRPr="00AC72DD">
              <w:t xml:space="preserve"> gesture or behavior &amp; attempt to observe that non-verbal item “in the wild” (and how locals respond to it) for one full day.</w:t>
            </w:r>
          </w:p>
        </w:tc>
      </w:tr>
      <w:tr w:rsidR="002A2F6C" w:rsidRPr="00AC72DD" w14:paraId="29918070" w14:textId="77777777" w:rsidTr="00EF5D6A"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1806C" w14:textId="646C5C99" w:rsidR="002A2F6C" w:rsidRPr="00AC72DD" w:rsidRDefault="00B63EF3" w:rsidP="004633C8">
            <w:pPr>
              <w:pStyle w:val="NoSpacing"/>
              <w:numPr>
                <w:ilvl w:val="0"/>
                <w:numId w:val="37"/>
              </w:numPr>
            </w:pPr>
            <w:r w:rsidRPr="00AC72DD">
              <w:t>Understand culture-based values &amp; behavior patterns in new host culture</w:t>
            </w:r>
          </w:p>
        </w:tc>
        <w:tc>
          <w:tcPr>
            <w:tcW w:w="6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1806E" w14:textId="5935955C" w:rsidR="002A2F6C" w:rsidRPr="00AC72DD" w:rsidRDefault="00B63EF3" w:rsidP="004633C8">
            <w:pPr>
              <w:pStyle w:val="NoSpacing"/>
              <w:numPr>
                <w:ilvl w:val="0"/>
                <w:numId w:val="20"/>
              </w:numPr>
            </w:pPr>
            <w:r w:rsidRPr="00AC72DD">
              <w:t>Once per week, I will ask a local to translate a common proverb to me &amp; explain what it expresses about the culture.</w:t>
            </w:r>
          </w:p>
          <w:p w14:paraId="2991806F" w14:textId="0CE35A0D" w:rsidR="002A2F6C" w:rsidRPr="00AC72DD" w:rsidRDefault="00B63EF3" w:rsidP="004633C8">
            <w:pPr>
              <w:pStyle w:val="NoSpacing"/>
              <w:numPr>
                <w:ilvl w:val="0"/>
                <w:numId w:val="20"/>
              </w:numPr>
            </w:pPr>
            <w:r w:rsidRPr="00AC72DD">
              <w:t>I will</w:t>
            </w:r>
            <w:r w:rsidR="00C91C4D">
              <w:t>,</w:t>
            </w:r>
            <w:r w:rsidRPr="00AC72DD">
              <w:t xml:space="preserve"> once per week, write a short list of events where I have observed cultural values different than those at home.</w:t>
            </w:r>
          </w:p>
        </w:tc>
      </w:tr>
      <w:tr w:rsidR="00554A98" w:rsidRPr="00AC72DD" w14:paraId="60CA131D" w14:textId="77777777" w:rsidTr="00EF5D6A"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E1FC12" w14:textId="2B4621F5" w:rsidR="00554A98" w:rsidRPr="00AC72DD" w:rsidRDefault="00554A98" w:rsidP="004633C8">
            <w:pPr>
              <w:pStyle w:val="NoSpacing"/>
              <w:numPr>
                <w:ilvl w:val="0"/>
                <w:numId w:val="37"/>
              </w:numPr>
            </w:pPr>
            <w:r>
              <w:t>Prepare to share my work/research with PPI students</w:t>
            </w:r>
          </w:p>
        </w:tc>
        <w:tc>
          <w:tcPr>
            <w:tcW w:w="6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96861" w14:textId="61C125B5" w:rsidR="00554A98" w:rsidRDefault="00554A98" w:rsidP="004633C8">
            <w:pPr>
              <w:pStyle w:val="NoSpacing"/>
              <w:numPr>
                <w:ilvl w:val="0"/>
                <w:numId w:val="29"/>
              </w:numPr>
            </w:pPr>
            <w:r>
              <w:t>Meet with my sponsoring professor to plan … [x times per month]</w:t>
            </w:r>
          </w:p>
          <w:p w14:paraId="27902AE3" w14:textId="36552F09" w:rsidR="00554A98" w:rsidRPr="00AC72DD" w:rsidRDefault="00554A98" w:rsidP="004633C8">
            <w:pPr>
              <w:pStyle w:val="NoSpacing"/>
              <w:numPr>
                <w:ilvl w:val="0"/>
                <w:numId w:val="29"/>
              </w:numPr>
            </w:pPr>
            <w:r>
              <w:t>Select which aspect of my work to share with students by end of second month.</w:t>
            </w:r>
          </w:p>
        </w:tc>
      </w:tr>
    </w:tbl>
    <w:p w14:paraId="3277985D" w14:textId="77777777" w:rsidR="00C64397" w:rsidRDefault="00C64397">
      <w:pPr>
        <w:widowControl/>
        <w:suppressAutoHyphens w:val="0"/>
        <w:rPr>
          <w:rFonts w:ascii="Myriad Pro" w:eastAsiaTheme="majorEastAsia" w:hAnsi="Myriad Pro"/>
          <w:color w:val="auto"/>
          <w:sz w:val="32"/>
          <w:szCs w:val="29"/>
          <w:u w:val="single"/>
        </w:rPr>
      </w:pPr>
      <w:r>
        <w:br w:type="page"/>
      </w:r>
    </w:p>
    <w:p w14:paraId="19E64785" w14:textId="78355E82" w:rsidR="00386B4A" w:rsidRPr="00AC72DD" w:rsidRDefault="00386B4A" w:rsidP="001B1DD5">
      <w:pPr>
        <w:pStyle w:val="Heading1"/>
      </w:pPr>
      <w:r w:rsidRPr="00AC72DD">
        <w:lastRenderedPageBreak/>
        <w:t>SMART Goals Worksheet</w:t>
      </w:r>
    </w:p>
    <w:p w14:paraId="230CCC6A" w14:textId="365F346C" w:rsidR="00386B4A" w:rsidRPr="00AC72DD" w:rsidRDefault="00386B4A" w:rsidP="004633C8">
      <w:pPr>
        <w:pStyle w:val="NoSpacing"/>
      </w:pPr>
      <w:r w:rsidRPr="00AC72DD">
        <w:t>P</w:t>
      </w:r>
      <w:r w:rsidR="00C64397">
        <w:t xml:space="preserve">lease set yourself at least 3 specific cultural learning goals, plus </w:t>
      </w:r>
      <w:r w:rsidR="00CA232A">
        <w:t xml:space="preserve">one goal that addresses the requirement to share your work with PPI students, and </w:t>
      </w:r>
      <w:r w:rsidR="00C64397">
        <w:t>3 linguistic g</w:t>
      </w:r>
      <w:r w:rsidRPr="00AC72DD">
        <w:t xml:space="preserve">oals if language acquisition is one of your primary </w:t>
      </w:r>
      <w:r w:rsidR="00810BB6">
        <w:t>concerns</w:t>
      </w:r>
      <w:r w:rsidRPr="00AC72DD">
        <w:t xml:space="preserve">. Then for each specific goal, list at least one </w:t>
      </w:r>
      <w:r w:rsidR="00554A98">
        <w:t>actionable task</w:t>
      </w:r>
      <w:r w:rsidRPr="00AC72DD">
        <w:t xml:space="preserve"> which is measurable, attainable &amp; </w:t>
      </w:r>
      <w:r w:rsidR="00554A98">
        <w:t>relevant</w:t>
      </w:r>
      <w:r w:rsidRPr="00AC72DD">
        <w:t xml:space="preserve"> for you to undertake </w:t>
      </w:r>
      <w:r w:rsidR="00554A98">
        <w:t>and a timeframe for completion</w:t>
      </w:r>
      <w:r w:rsidRPr="00AC72DD">
        <w:t xml:space="preserve">. </w:t>
      </w:r>
    </w:p>
    <w:p w14:paraId="200F599D" w14:textId="4561B007" w:rsidR="00810BB6" w:rsidRPr="00AC72DD" w:rsidRDefault="00810BB6" w:rsidP="004633C8">
      <w:pPr>
        <w:pStyle w:val="NoSpacing"/>
      </w:pPr>
    </w:p>
    <w:p w14:paraId="61D5FA20" w14:textId="4C30E3C0" w:rsidR="00386B4A" w:rsidRPr="00024388" w:rsidRDefault="00F84AB3" w:rsidP="00024388">
      <w:pPr>
        <w:pStyle w:val="NoSpacing"/>
        <w:rPr>
          <w:b/>
          <w:bCs/>
        </w:rPr>
      </w:pPr>
      <w:r w:rsidRPr="00AC72DD">
        <w:t>ENTER NAME HERE</w:t>
      </w:r>
      <w:r w:rsidR="009C3580" w:rsidRPr="00AC72DD">
        <w:t>______________________________</w:t>
      </w:r>
    </w:p>
    <w:tbl>
      <w:tblPr>
        <w:tblW w:w="9584" w:type="dxa"/>
        <w:tblInd w:w="-27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6"/>
        <w:gridCol w:w="5518"/>
      </w:tblGrid>
      <w:tr w:rsidR="00386B4A" w:rsidRPr="00AC72DD" w14:paraId="67B8F13D" w14:textId="77777777" w:rsidTr="003B6B09">
        <w:trPr>
          <w:trHeight w:val="339"/>
          <w:tblHeader/>
        </w:trPr>
        <w:tc>
          <w:tcPr>
            <w:tcW w:w="4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/>
            <w:tcMar>
              <w:left w:w="42" w:type="dxa"/>
            </w:tcMar>
          </w:tcPr>
          <w:p w14:paraId="5C14D04C" w14:textId="2319F569" w:rsidR="00386B4A" w:rsidRPr="00AC72DD" w:rsidRDefault="00386B4A" w:rsidP="004633C8">
            <w:pPr>
              <w:pStyle w:val="NoSpacing"/>
              <w:rPr>
                <w:sz w:val="21"/>
              </w:rPr>
            </w:pPr>
            <w:r w:rsidRPr="00AC72DD">
              <w:t>Specific Goal</w:t>
            </w:r>
          </w:p>
        </w:tc>
        <w:tc>
          <w:tcPr>
            <w:tcW w:w="5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/>
            <w:tcMar>
              <w:left w:w="42" w:type="dxa"/>
            </w:tcMar>
          </w:tcPr>
          <w:p w14:paraId="2587D9BD" w14:textId="4254429D" w:rsidR="00386B4A" w:rsidRPr="00AC72DD" w:rsidRDefault="00386B4A" w:rsidP="004633C8">
            <w:pPr>
              <w:pStyle w:val="NoSpacing"/>
            </w:pPr>
            <w:r w:rsidRPr="00AC72DD">
              <w:t xml:space="preserve">Measurable, Attainable, </w:t>
            </w:r>
            <w:r w:rsidR="004633C8">
              <w:t>Relevant</w:t>
            </w:r>
            <w:r w:rsidRPr="00AC72DD">
              <w:t xml:space="preserve"> &amp;</w:t>
            </w:r>
            <w:r w:rsidR="00D731E4" w:rsidRPr="00AC72DD">
              <w:t xml:space="preserve"> </w:t>
            </w:r>
            <w:r w:rsidR="004633C8">
              <w:t>Timely Actionable Tasks</w:t>
            </w:r>
          </w:p>
        </w:tc>
      </w:tr>
      <w:tr w:rsidR="00386B4A" w:rsidRPr="00AC72DD" w14:paraId="6DA8748A" w14:textId="77777777" w:rsidTr="00CD5968">
        <w:trPr>
          <w:trHeight w:val="1584"/>
        </w:trPr>
        <w:tc>
          <w:tcPr>
            <w:tcW w:w="4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B993C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  <w:r w:rsidRPr="00AC72DD">
              <w:rPr>
                <w:rFonts w:ascii="Myriad Pro" w:hAnsi="Myriad Pro"/>
              </w:rPr>
              <w:t>1</w:t>
            </w:r>
          </w:p>
          <w:p w14:paraId="0102781B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56C64719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0FA27921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  <w:tc>
          <w:tcPr>
            <w:tcW w:w="5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0DAD45" w14:textId="77777777" w:rsidR="00386B4A" w:rsidRPr="00AC72DD" w:rsidRDefault="00386B4A" w:rsidP="00386B4A">
            <w:pPr>
              <w:pStyle w:val="TableContents"/>
              <w:numPr>
                <w:ilvl w:val="0"/>
                <w:numId w:val="14"/>
              </w:numPr>
              <w:ind w:left="346"/>
              <w:rPr>
                <w:rFonts w:ascii="Myriad Pro" w:hAnsi="Myriad Pro"/>
                <w:sz w:val="21"/>
              </w:rPr>
            </w:pPr>
          </w:p>
          <w:p w14:paraId="12BD1872" w14:textId="77777777" w:rsidR="00386B4A" w:rsidRPr="00AC72DD" w:rsidRDefault="00386B4A" w:rsidP="00386B4A">
            <w:pPr>
              <w:pStyle w:val="TableContents"/>
              <w:numPr>
                <w:ilvl w:val="0"/>
                <w:numId w:val="14"/>
              </w:numPr>
              <w:ind w:left="346"/>
              <w:rPr>
                <w:rFonts w:ascii="Myriad Pro" w:hAnsi="Myriad Pro"/>
                <w:sz w:val="21"/>
              </w:rPr>
            </w:pPr>
          </w:p>
          <w:p w14:paraId="1A05DAD2" w14:textId="1E4443A3" w:rsidR="00386B4A" w:rsidRPr="004633C8" w:rsidRDefault="00386B4A" w:rsidP="004633C8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</w:tr>
      <w:tr w:rsidR="00386B4A" w:rsidRPr="00AC72DD" w14:paraId="3BC0082C" w14:textId="77777777" w:rsidTr="00CD5968">
        <w:trPr>
          <w:trHeight w:val="1584"/>
        </w:trPr>
        <w:tc>
          <w:tcPr>
            <w:tcW w:w="4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BD28F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  <w:r w:rsidRPr="00AC72DD">
              <w:rPr>
                <w:rFonts w:ascii="Myriad Pro" w:hAnsi="Myriad Pro"/>
              </w:rPr>
              <w:t>2</w:t>
            </w:r>
          </w:p>
          <w:p w14:paraId="79199EAC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66E92DE2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1A922B9E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  <w:tc>
          <w:tcPr>
            <w:tcW w:w="5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0112E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</w:tr>
      <w:tr w:rsidR="00386B4A" w:rsidRPr="00AC72DD" w14:paraId="0CD800F8" w14:textId="77777777" w:rsidTr="00CD5968">
        <w:trPr>
          <w:trHeight w:val="1584"/>
        </w:trPr>
        <w:tc>
          <w:tcPr>
            <w:tcW w:w="4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66091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  <w:r w:rsidRPr="00AC72DD">
              <w:rPr>
                <w:rFonts w:ascii="Myriad Pro" w:hAnsi="Myriad Pro"/>
              </w:rPr>
              <w:t>3</w:t>
            </w:r>
          </w:p>
          <w:p w14:paraId="7CB379AE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0C5014B4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7737070B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  <w:tc>
          <w:tcPr>
            <w:tcW w:w="5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6200B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</w:tr>
      <w:tr w:rsidR="00386B4A" w:rsidRPr="00AC72DD" w14:paraId="0394C483" w14:textId="77777777" w:rsidTr="00CD5968">
        <w:trPr>
          <w:trHeight w:val="1584"/>
        </w:trPr>
        <w:tc>
          <w:tcPr>
            <w:tcW w:w="4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A9DBB2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  <w:r w:rsidRPr="00AC72DD">
              <w:rPr>
                <w:rFonts w:ascii="Myriad Pro" w:hAnsi="Myriad Pro"/>
              </w:rPr>
              <w:t>4</w:t>
            </w:r>
          </w:p>
          <w:p w14:paraId="705E1EF1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65D5F73D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5C7ACA62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  <w:tc>
          <w:tcPr>
            <w:tcW w:w="5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B2E8AA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</w:tr>
      <w:tr w:rsidR="00386B4A" w:rsidRPr="00AC72DD" w14:paraId="50E7A16D" w14:textId="77777777" w:rsidTr="00CD5968">
        <w:trPr>
          <w:trHeight w:val="1584"/>
        </w:trPr>
        <w:tc>
          <w:tcPr>
            <w:tcW w:w="4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4387B7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  <w:r w:rsidRPr="00AC72DD">
              <w:rPr>
                <w:rFonts w:ascii="Myriad Pro" w:hAnsi="Myriad Pro"/>
              </w:rPr>
              <w:t>5</w:t>
            </w:r>
          </w:p>
          <w:p w14:paraId="22BA652D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63C84630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15398D49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  <w:tc>
          <w:tcPr>
            <w:tcW w:w="5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DE7EF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</w:tr>
      <w:tr w:rsidR="00386B4A" w:rsidRPr="00AC72DD" w14:paraId="0F08477C" w14:textId="77777777" w:rsidTr="00CD5968">
        <w:trPr>
          <w:trHeight w:val="1584"/>
        </w:trPr>
        <w:tc>
          <w:tcPr>
            <w:tcW w:w="4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28B820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  <w:r w:rsidRPr="00AC72DD">
              <w:rPr>
                <w:rFonts w:ascii="Myriad Pro" w:hAnsi="Myriad Pro"/>
              </w:rPr>
              <w:t>6</w:t>
            </w:r>
          </w:p>
          <w:p w14:paraId="722C822F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308B27C2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6580F97E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  <w:p w14:paraId="1FF04392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  <w:tc>
          <w:tcPr>
            <w:tcW w:w="5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5D07FC" w14:textId="77777777" w:rsidR="00386B4A" w:rsidRPr="00AC72DD" w:rsidRDefault="00386B4A" w:rsidP="00410EC4">
            <w:pPr>
              <w:pStyle w:val="TableContents"/>
              <w:rPr>
                <w:rFonts w:ascii="Myriad Pro" w:hAnsi="Myriad Pro"/>
                <w:sz w:val="21"/>
              </w:rPr>
            </w:pPr>
          </w:p>
        </w:tc>
      </w:tr>
    </w:tbl>
    <w:p w14:paraId="2250FAA1" w14:textId="1169021A" w:rsidR="002A2F6C" w:rsidRPr="00AC72DD" w:rsidRDefault="002A2F6C" w:rsidP="00024388">
      <w:pPr>
        <w:pStyle w:val="NoSpacing"/>
      </w:pPr>
    </w:p>
    <w:sectPr w:rsidR="002A2F6C" w:rsidRPr="00AC72DD" w:rsidSect="00024388">
      <w:head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180A2" w14:textId="77777777" w:rsidR="00165679" w:rsidRDefault="00165679">
      <w:pPr>
        <w:rPr>
          <w:rFonts w:hint="eastAsia"/>
        </w:rPr>
      </w:pPr>
      <w:r>
        <w:separator/>
      </w:r>
    </w:p>
  </w:endnote>
  <w:endnote w:type="continuationSeparator" w:id="0">
    <w:p w14:paraId="299180A3" w14:textId="77777777" w:rsidR="00165679" w:rsidRDefault="001656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80A0" w14:textId="77777777" w:rsidR="00165679" w:rsidRDefault="00165679">
      <w:pPr>
        <w:rPr>
          <w:rFonts w:hint="eastAsia"/>
        </w:rPr>
      </w:pPr>
      <w:r>
        <w:separator/>
      </w:r>
    </w:p>
  </w:footnote>
  <w:footnote w:type="continuationSeparator" w:id="0">
    <w:p w14:paraId="299180A1" w14:textId="77777777" w:rsidR="00165679" w:rsidRDefault="001656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3913" w14:textId="46320323" w:rsidR="00873ED4" w:rsidRPr="000577B0" w:rsidRDefault="00B75CC2" w:rsidP="00873ED4">
    <w:pPr>
      <w:pStyle w:val="Title"/>
      <w:rPr>
        <w:rFonts w:ascii="Myriad Pro" w:hAnsi="Myriad Pro"/>
      </w:rPr>
    </w:pPr>
    <w:r>
      <w:rPr>
        <w:noProof/>
        <w:lang w:eastAsia="en-US" w:bidi="ar-SA"/>
      </w:rPr>
      <w:drawing>
        <wp:anchor distT="0" distB="0" distL="114300" distR="114300" simplePos="0" relativeHeight="251658240" behindDoc="0" locked="0" layoutInCell="1" allowOverlap="1" wp14:anchorId="4525B591" wp14:editId="07AF35DA">
          <wp:simplePos x="0" y="0"/>
          <wp:positionH relativeFrom="page">
            <wp:align>right</wp:align>
          </wp:positionH>
          <wp:positionV relativeFrom="paragraph">
            <wp:posOffset>-114300</wp:posOffset>
          </wp:positionV>
          <wp:extent cx="1522095" cy="74803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EAD Logo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77B0" w:rsidRPr="000577B0">
      <w:rPr>
        <w:rFonts w:ascii="Myriad Pro" w:hAnsi="Myriad Pro"/>
      </w:rPr>
      <w:t>Pre-Workshop Tasks</w:t>
    </w:r>
  </w:p>
  <w:p w14:paraId="02DC7426" w14:textId="2EE4D4A3" w:rsidR="006E5DD1" w:rsidRPr="000577B0" w:rsidRDefault="000151AD" w:rsidP="00873ED4">
    <w:pPr>
      <w:pStyle w:val="Title"/>
      <w:rPr>
        <w:rFonts w:ascii="Myriad Pro" w:hAnsi="Myriad Pro"/>
      </w:rPr>
    </w:pPr>
    <w:r w:rsidRPr="000577B0">
      <w:rPr>
        <w:rFonts w:ascii="Myriad Pro" w:hAnsi="Myriad Pro"/>
      </w:rPr>
      <w:t>IC Autobiography &amp; SMART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26"/>
    <w:multiLevelType w:val="hybridMultilevel"/>
    <w:tmpl w:val="C2907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D93"/>
    <w:multiLevelType w:val="hybridMultilevel"/>
    <w:tmpl w:val="70DA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51C1"/>
    <w:multiLevelType w:val="hybridMultilevel"/>
    <w:tmpl w:val="2B6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3F68"/>
    <w:multiLevelType w:val="multilevel"/>
    <w:tmpl w:val="6CDE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AB34FC"/>
    <w:multiLevelType w:val="multilevel"/>
    <w:tmpl w:val="B2EE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DD028F"/>
    <w:multiLevelType w:val="hybridMultilevel"/>
    <w:tmpl w:val="DDA8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0B0B"/>
    <w:multiLevelType w:val="multilevel"/>
    <w:tmpl w:val="9E7E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93236C"/>
    <w:multiLevelType w:val="multilevel"/>
    <w:tmpl w:val="4B8EDF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7E2D7C"/>
    <w:multiLevelType w:val="hybridMultilevel"/>
    <w:tmpl w:val="E740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4A96"/>
    <w:multiLevelType w:val="hybridMultilevel"/>
    <w:tmpl w:val="A658E92E"/>
    <w:lvl w:ilvl="0" w:tplc="CE90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598"/>
    <w:multiLevelType w:val="hybridMultilevel"/>
    <w:tmpl w:val="902C57BA"/>
    <w:lvl w:ilvl="0" w:tplc="CE90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73EC"/>
    <w:multiLevelType w:val="hybridMultilevel"/>
    <w:tmpl w:val="11F8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46BD"/>
    <w:multiLevelType w:val="multilevel"/>
    <w:tmpl w:val="1E9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F464EEF"/>
    <w:multiLevelType w:val="hybridMultilevel"/>
    <w:tmpl w:val="C8A2A5D0"/>
    <w:lvl w:ilvl="0" w:tplc="0A8CF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B7801"/>
    <w:multiLevelType w:val="hybridMultilevel"/>
    <w:tmpl w:val="E102BCF6"/>
    <w:lvl w:ilvl="0" w:tplc="CE90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B27C4"/>
    <w:multiLevelType w:val="hybridMultilevel"/>
    <w:tmpl w:val="7048DF3A"/>
    <w:lvl w:ilvl="0" w:tplc="73283E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617E"/>
    <w:multiLevelType w:val="hybridMultilevel"/>
    <w:tmpl w:val="85F6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90B3C"/>
    <w:multiLevelType w:val="multilevel"/>
    <w:tmpl w:val="5BE4C6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CC768A1"/>
    <w:multiLevelType w:val="multilevel"/>
    <w:tmpl w:val="60FA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4B46318"/>
    <w:multiLevelType w:val="hybridMultilevel"/>
    <w:tmpl w:val="76123480"/>
    <w:lvl w:ilvl="0" w:tplc="CE90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4EFD"/>
    <w:multiLevelType w:val="multilevel"/>
    <w:tmpl w:val="30E8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2321284"/>
    <w:multiLevelType w:val="hybridMultilevel"/>
    <w:tmpl w:val="47A8822A"/>
    <w:lvl w:ilvl="0" w:tplc="0A8CF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26DF"/>
    <w:multiLevelType w:val="hybridMultilevel"/>
    <w:tmpl w:val="DFC63EFC"/>
    <w:lvl w:ilvl="0" w:tplc="A66E4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37711"/>
    <w:multiLevelType w:val="hybridMultilevel"/>
    <w:tmpl w:val="13A27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6FE5"/>
    <w:multiLevelType w:val="hybridMultilevel"/>
    <w:tmpl w:val="9CB8EB84"/>
    <w:lvl w:ilvl="0" w:tplc="732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A2BCC"/>
    <w:multiLevelType w:val="multilevel"/>
    <w:tmpl w:val="F62A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EA02C1"/>
    <w:multiLevelType w:val="hybridMultilevel"/>
    <w:tmpl w:val="62FA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85A8D"/>
    <w:multiLevelType w:val="hybridMultilevel"/>
    <w:tmpl w:val="4018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376FC"/>
    <w:multiLevelType w:val="multilevel"/>
    <w:tmpl w:val="EF8E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4150819"/>
    <w:multiLevelType w:val="multilevel"/>
    <w:tmpl w:val="995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84646D"/>
    <w:multiLevelType w:val="hybridMultilevel"/>
    <w:tmpl w:val="85F6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22E8"/>
    <w:multiLevelType w:val="hybridMultilevel"/>
    <w:tmpl w:val="BD18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A49C9"/>
    <w:multiLevelType w:val="multilevel"/>
    <w:tmpl w:val="AAB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32"/>
  </w:num>
  <w:num w:numId="8">
    <w:abstractNumId w:val="6"/>
  </w:num>
  <w:num w:numId="9">
    <w:abstractNumId w:val="25"/>
  </w:num>
  <w:num w:numId="10">
    <w:abstractNumId w:val="3"/>
  </w:num>
  <w:num w:numId="11">
    <w:abstractNumId w:val="17"/>
  </w:num>
  <w:num w:numId="12">
    <w:abstractNumId w:val="27"/>
  </w:num>
  <w:num w:numId="13">
    <w:abstractNumId w:val="23"/>
  </w:num>
  <w:num w:numId="14">
    <w:abstractNumId w:val="29"/>
  </w:num>
  <w:num w:numId="15">
    <w:abstractNumId w:val="8"/>
  </w:num>
  <w:num w:numId="16">
    <w:abstractNumId w:val="2"/>
  </w:num>
  <w:num w:numId="17">
    <w:abstractNumId w:val="26"/>
  </w:num>
  <w:num w:numId="18">
    <w:abstractNumId w:val="31"/>
  </w:num>
  <w:num w:numId="19">
    <w:abstractNumId w:val="11"/>
  </w:num>
  <w:num w:numId="20">
    <w:abstractNumId w:val="5"/>
  </w:num>
  <w:num w:numId="21">
    <w:abstractNumId w:val="1"/>
  </w:num>
  <w:num w:numId="22">
    <w:abstractNumId w:val="22"/>
  </w:num>
  <w:num w:numId="23">
    <w:abstractNumId w:val="30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7"/>
    </w:lvlOverride>
  </w:num>
  <w:num w:numId="29">
    <w:abstractNumId w:val="16"/>
  </w:num>
  <w:num w:numId="30">
    <w:abstractNumId w:val="0"/>
  </w:num>
  <w:num w:numId="31">
    <w:abstractNumId w:val="21"/>
  </w:num>
  <w:num w:numId="32">
    <w:abstractNumId w:val="13"/>
  </w:num>
  <w:num w:numId="33">
    <w:abstractNumId w:val="14"/>
  </w:num>
  <w:num w:numId="34">
    <w:abstractNumId w:val="9"/>
  </w:num>
  <w:num w:numId="35">
    <w:abstractNumId w:val="10"/>
  </w:num>
  <w:num w:numId="36">
    <w:abstractNumId w:val="19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6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6C"/>
    <w:rsid w:val="000151AD"/>
    <w:rsid w:val="00024388"/>
    <w:rsid w:val="000577B0"/>
    <w:rsid w:val="000A21F1"/>
    <w:rsid w:val="000C3EB9"/>
    <w:rsid w:val="000E1D48"/>
    <w:rsid w:val="000E6E63"/>
    <w:rsid w:val="00130520"/>
    <w:rsid w:val="00155B2D"/>
    <w:rsid w:val="00165679"/>
    <w:rsid w:val="0018541E"/>
    <w:rsid w:val="001872FD"/>
    <w:rsid w:val="001B1DD5"/>
    <w:rsid w:val="002A2F6C"/>
    <w:rsid w:val="002A6C95"/>
    <w:rsid w:val="00335FD7"/>
    <w:rsid w:val="003448F4"/>
    <w:rsid w:val="0038154E"/>
    <w:rsid w:val="00386B4A"/>
    <w:rsid w:val="003B6B09"/>
    <w:rsid w:val="003D5970"/>
    <w:rsid w:val="00453E53"/>
    <w:rsid w:val="00456347"/>
    <w:rsid w:val="004633C8"/>
    <w:rsid w:val="004A4B0E"/>
    <w:rsid w:val="00554A98"/>
    <w:rsid w:val="005B7DD4"/>
    <w:rsid w:val="005D52F9"/>
    <w:rsid w:val="00622F61"/>
    <w:rsid w:val="00635DB7"/>
    <w:rsid w:val="006769A1"/>
    <w:rsid w:val="006E5DD1"/>
    <w:rsid w:val="0074384A"/>
    <w:rsid w:val="007809D9"/>
    <w:rsid w:val="007B313B"/>
    <w:rsid w:val="007C3F76"/>
    <w:rsid w:val="00810BB6"/>
    <w:rsid w:val="00873ED4"/>
    <w:rsid w:val="008C1308"/>
    <w:rsid w:val="008E1324"/>
    <w:rsid w:val="009257EC"/>
    <w:rsid w:val="0096787F"/>
    <w:rsid w:val="00985C57"/>
    <w:rsid w:val="00996C05"/>
    <w:rsid w:val="009C3580"/>
    <w:rsid w:val="00A236A7"/>
    <w:rsid w:val="00AC1424"/>
    <w:rsid w:val="00AC72DD"/>
    <w:rsid w:val="00AF709E"/>
    <w:rsid w:val="00B0402D"/>
    <w:rsid w:val="00B22F25"/>
    <w:rsid w:val="00B63EF3"/>
    <w:rsid w:val="00B75CC2"/>
    <w:rsid w:val="00B86C22"/>
    <w:rsid w:val="00B94854"/>
    <w:rsid w:val="00C02ED2"/>
    <w:rsid w:val="00C47C5E"/>
    <w:rsid w:val="00C64397"/>
    <w:rsid w:val="00C91C4D"/>
    <w:rsid w:val="00CA232A"/>
    <w:rsid w:val="00CD1698"/>
    <w:rsid w:val="00CD5968"/>
    <w:rsid w:val="00CF2506"/>
    <w:rsid w:val="00D34C9B"/>
    <w:rsid w:val="00D55945"/>
    <w:rsid w:val="00D731E4"/>
    <w:rsid w:val="00D92E20"/>
    <w:rsid w:val="00DB2149"/>
    <w:rsid w:val="00DB480F"/>
    <w:rsid w:val="00DB4F0E"/>
    <w:rsid w:val="00DB7A68"/>
    <w:rsid w:val="00DF156A"/>
    <w:rsid w:val="00E102C6"/>
    <w:rsid w:val="00E365A4"/>
    <w:rsid w:val="00EF5127"/>
    <w:rsid w:val="00EF5D6A"/>
    <w:rsid w:val="00F454A6"/>
    <w:rsid w:val="00F53E7A"/>
    <w:rsid w:val="00F84AB3"/>
    <w:rsid w:val="00F91F17"/>
    <w:rsid w:val="00F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991804B"/>
  <w15:docId w15:val="{F1B6B09F-6547-40F3-BEAE-E69AFF9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5B2D"/>
    <w:pPr>
      <w:keepNext/>
      <w:keepLines/>
      <w:spacing w:before="240"/>
      <w:outlineLvl w:val="0"/>
    </w:pPr>
    <w:rPr>
      <w:rFonts w:ascii="Myriad Pro" w:eastAsiaTheme="majorEastAsia" w:hAnsi="Myriad Pro"/>
      <w:color w:val="auto"/>
      <w:sz w:val="32"/>
      <w:szCs w:val="29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1C4D"/>
    <w:pPr>
      <w:keepNext/>
      <w:keepLines/>
      <w:spacing w:before="40"/>
      <w:outlineLvl w:val="1"/>
    </w:pPr>
    <w:rPr>
      <w:rFonts w:ascii="Myriad Pro" w:eastAsiaTheme="majorEastAsia" w:hAnsi="Myriad Pro"/>
      <w:color w:val="auto"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F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F9"/>
    <w:rPr>
      <w:rFonts w:ascii="Tahoma" w:hAnsi="Tahoma"/>
      <w:color w:val="00000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E5DD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E5DD1"/>
    <w:rPr>
      <w:color w:val="00000A"/>
      <w:sz w:val="24"/>
      <w:szCs w:val="21"/>
    </w:rPr>
  </w:style>
  <w:style w:type="table" w:styleId="TableGrid">
    <w:name w:val="Table Grid"/>
    <w:basedOn w:val="TableNormal"/>
    <w:uiPriority w:val="59"/>
    <w:rsid w:val="0074384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84A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lang w:eastAsia="en-US" w:bidi="ar-SA"/>
    </w:rPr>
  </w:style>
  <w:style w:type="paragraph" w:styleId="NormalWeb">
    <w:name w:val="Normal (Web)"/>
    <w:basedOn w:val="Normal"/>
    <w:uiPriority w:val="99"/>
    <w:unhideWhenUsed/>
    <w:rsid w:val="00453E53"/>
    <w:pPr>
      <w:widowControl/>
      <w:suppressAutoHyphens w:val="0"/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styleId="Emphasis">
    <w:name w:val="Emphasis"/>
    <w:basedOn w:val="DefaultParagraphFont"/>
    <w:uiPriority w:val="20"/>
    <w:qFormat/>
    <w:rsid w:val="00453E53"/>
    <w:rPr>
      <w:i/>
      <w:iCs/>
    </w:rPr>
  </w:style>
  <w:style w:type="character" w:styleId="Hyperlink">
    <w:name w:val="Hyperlink"/>
    <w:basedOn w:val="DefaultParagraphFont"/>
    <w:uiPriority w:val="99"/>
    <w:unhideWhenUsed/>
    <w:rsid w:val="00B040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2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25"/>
    <w:rPr>
      <w:color w:val="00000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25"/>
    <w:rPr>
      <w:b/>
      <w:bCs/>
      <w:color w:val="00000A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65A4"/>
    <w:rPr>
      <w:color w:val="954F72" w:themeColor="followedHyperlink"/>
      <w:u w:val="single"/>
    </w:rPr>
  </w:style>
  <w:style w:type="paragraph" w:styleId="NoSpacing">
    <w:name w:val="No Spacing"/>
    <w:autoRedefine/>
    <w:uiPriority w:val="1"/>
    <w:qFormat/>
    <w:rsid w:val="004633C8"/>
    <w:pPr>
      <w:widowControl w:val="0"/>
      <w:suppressAutoHyphens/>
    </w:pPr>
    <w:rPr>
      <w:rFonts w:ascii="Myriad Pro" w:hAnsi="Myriad Pro"/>
      <w:color w:val="00000A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55B2D"/>
    <w:rPr>
      <w:rFonts w:ascii="Myriad Pro" w:eastAsiaTheme="majorEastAsia" w:hAnsi="Myriad Pro"/>
      <w:sz w:val="32"/>
      <w:szCs w:val="29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1C4D"/>
    <w:rPr>
      <w:rFonts w:ascii="Myriad Pro" w:eastAsiaTheme="majorEastAsia" w:hAnsi="Myriad Pro"/>
      <w:sz w:val="22"/>
      <w:szCs w:val="2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3ED4"/>
    <w:pPr>
      <w:tabs>
        <w:tab w:val="left" w:pos="0"/>
        <w:tab w:val="center" w:pos="4770"/>
        <w:tab w:val="right" w:pos="9360"/>
      </w:tabs>
      <w:contextualSpacing/>
      <w:jc w:val="center"/>
    </w:pPr>
    <w:rPr>
      <w:rFonts w:ascii="Impact" w:eastAsiaTheme="majorEastAsia" w:hAnsi="Impact"/>
      <w:color w:val="auto"/>
      <w:spacing w:val="-10"/>
      <w:kern w:val="28"/>
      <w:sz w:val="28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873ED4"/>
    <w:rPr>
      <w:rFonts w:ascii="Impact" w:eastAsiaTheme="majorEastAsia" w:hAnsi="Impact"/>
      <w:spacing w:val="-10"/>
      <w:kern w:val="28"/>
      <w:sz w:val="28"/>
      <w:szCs w:val="50"/>
    </w:rPr>
  </w:style>
  <w:style w:type="paragraph" w:styleId="Subtitle">
    <w:name w:val="Subtitle"/>
    <w:aliases w:val="Table"/>
    <w:basedOn w:val="Normal"/>
    <w:next w:val="Normal"/>
    <w:link w:val="SubtitleChar"/>
    <w:autoRedefine/>
    <w:uiPriority w:val="11"/>
    <w:qFormat/>
    <w:rsid w:val="00F454A6"/>
    <w:pPr>
      <w:numPr>
        <w:ilvl w:val="1"/>
      </w:numPr>
      <w:spacing w:after="160"/>
    </w:pPr>
    <w:rPr>
      <w:rFonts w:ascii="Myriad Pro" w:eastAsiaTheme="minorEastAsia" w:hAnsi="Myriad Pro"/>
      <w:color w:val="auto"/>
      <w:spacing w:val="15"/>
      <w:sz w:val="16"/>
      <w:szCs w:val="20"/>
    </w:rPr>
  </w:style>
  <w:style w:type="character" w:customStyle="1" w:styleId="SubtitleChar">
    <w:name w:val="Subtitle Char"/>
    <w:aliases w:val="Table Char"/>
    <w:basedOn w:val="DefaultParagraphFont"/>
    <w:link w:val="Subtitle"/>
    <w:uiPriority w:val="11"/>
    <w:rsid w:val="00F454A6"/>
    <w:rPr>
      <w:rFonts w:ascii="Myriad Pro" w:eastAsiaTheme="minorEastAsia" w:hAnsi="Myriad Pro"/>
      <w:spacing w:val="15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4442-33D3-47C3-9296-B4E6A0C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Tanner</dc:creator>
  <cp:lastModifiedBy>Jones, Daniel C</cp:lastModifiedBy>
  <cp:revision>2</cp:revision>
  <cp:lastPrinted>2015-01-23T13:39:00Z</cp:lastPrinted>
  <dcterms:created xsi:type="dcterms:W3CDTF">2019-09-06T12:30:00Z</dcterms:created>
  <dcterms:modified xsi:type="dcterms:W3CDTF">2019-09-06T12:30:00Z</dcterms:modified>
  <dc:language>en-US</dc:language>
</cp:coreProperties>
</file>