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C3" w:rsidRPr="00ED7836" w:rsidRDefault="00ED7836" w:rsidP="00ED7836">
      <w:pPr>
        <w:tabs>
          <w:tab w:val="left" w:pos="7350"/>
        </w:tabs>
      </w:pPr>
      <w:r>
        <w:rPr>
          <w:rFonts w:eastAsiaTheme="majorEastAsia" w:cstheme="majorBidi"/>
          <w:sz w:val="26"/>
          <w:szCs w:val="26"/>
        </w:rPr>
        <w:t>Tasks m</w:t>
      </w:r>
      <w:r w:rsidR="00AA3BC3" w:rsidRPr="00AA3BC3">
        <w:rPr>
          <w:rFonts w:eastAsiaTheme="majorEastAsia" w:cstheme="majorBidi"/>
          <w:sz w:val="26"/>
          <w:szCs w:val="26"/>
        </w:rPr>
        <w:t>ust be completed by deadlines listed below.</w:t>
      </w:r>
    </w:p>
    <w:p w:rsidR="00ED7836" w:rsidRDefault="00ED7836" w:rsidP="00AA3BC3">
      <w:pPr>
        <w:pStyle w:val="TableContents"/>
        <w:rPr>
          <w:rFonts w:ascii="Myriad Pro" w:hAnsi="Myriad Pro" w:cs="Arial"/>
          <w:b/>
          <w:sz w:val="22"/>
          <w:szCs w:val="22"/>
        </w:rPr>
      </w:pPr>
    </w:p>
    <w:p w:rsidR="00AA3BC3" w:rsidRPr="00A76573" w:rsidRDefault="00AA3BC3" w:rsidP="00AA3BC3">
      <w:pPr>
        <w:pStyle w:val="TableContents"/>
        <w:rPr>
          <w:rFonts w:ascii="Myriad Pro" w:hAnsi="Myriad Pro" w:cs="Arial"/>
          <w:b/>
          <w:sz w:val="22"/>
          <w:szCs w:val="22"/>
        </w:rPr>
      </w:pPr>
      <w:r w:rsidRPr="00A76573">
        <w:rPr>
          <w:rFonts w:ascii="Myriad Pro" w:hAnsi="Myriad Pro" w:cs="Arial"/>
          <w:b/>
          <w:sz w:val="22"/>
          <w:szCs w:val="22"/>
        </w:rPr>
        <w:t xml:space="preserve">Statement of Purpose </w:t>
      </w:r>
    </w:p>
    <w:p w:rsidR="00AA3BC3" w:rsidRPr="00A76573" w:rsidRDefault="00AA3BC3" w:rsidP="00ED7836">
      <w:pPr>
        <w:pStyle w:val="TableContents"/>
        <w:rPr>
          <w:rFonts w:ascii="Myriad Pro" w:hAnsi="Myriad Pro" w:cs="Arial"/>
          <w:sz w:val="22"/>
          <w:szCs w:val="22"/>
        </w:rPr>
      </w:pPr>
      <w:r w:rsidRPr="00A76573">
        <w:rPr>
          <w:rFonts w:ascii="Myriad Pro" w:hAnsi="Myriad Pro" w:cs="Arial"/>
          <w:sz w:val="22"/>
          <w:szCs w:val="22"/>
        </w:rPr>
        <w:t>The purpose of this pedagogy program is to help build a Purdue Community of Scholarly Practice that understands what recent research is teaching us about how students learn to cross cultures effectively. If you have concerns about step one or six below, please see our statement of confidentiality, next page.</w:t>
      </w:r>
    </w:p>
    <w:tbl>
      <w:tblPr>
        <w:tblW w:w="9360" w:type="dxa"/>
        <w:jc w:val="center"/>
        <w:tblBorders>
          <w:top w:val="single" w:sz="4" w:space="0" w:color="auto"/>
          <w:left w:val="single" w:sz="4" w:space="0" w:color="auto"/>
          <w:bottom w:val="single" w:sz="4" w:space="0" w:color="auto"/>
          <w:right w:val="single" w:sz="4" w:space="0" w:color="auto"/>
          <w:insideH w:val="single" w:sz="2" w:space="0" w:color="000001"/>
          <w:insideV w:val="single" w:sz="2" w:space="0" w:color="000001"/>
        </w:tblBorders>
        <w:tblCellMar>
          <w:top w:w="55" w:type="dxa"/>
          <w:left w:w="51" w:type="dxa"/>
          <w:bottom w:w="55" w:type="dxa"/>
          <w:right w:w="55" w:type="dxa"/>
        </w:tblCellMar>
        <w:tblLook w:val="0000" w:firstRow="0" w:lastRow="0" w:firstColumn="0" w:lastColumn="0" w:noHBand="0" w:noVBand="0"/>
      </w:tblPr>
      <w:tblGrid>
        <w:gridCol w:w="7825"/>
        <w:gridCol w:w="1535"/>
      </w:tblGrid>
      <w:tr w:rsidR="00AA3BC3" w:rsidRPr="00ED7836" w:rsidTr="00ED7836">
        <w:trPr>
          <w:jc w:val="center"/>
        </w:trPr>
        <w:tc>
          <w:tcPr>
            <w:tcW w:w="4180" w:type="pct"/>
            <w:shd w:val="clear" w:color="auto" w:fill="auto"/>
            <w:tcMar>
              <w:left w:w="51" w:type="dxa"/>
            </w:tcMar>
          </w:tcPr>
          <w:p w:rsidR="00AA3BC3" w:rsidRPr="00ED7836" w:rsidRDefault="00AA3BC3" w:rsidP="00AA3BC3">
            <w:pPr>
              <w:rPr>
                <w:sz w:val="21"/>
                <w:szCs w:val="21"/>
              </w:rPr>
            </w:pPr>
            <w:r w:rsidRPr="00ED7836">
              <w:rPr>
                <w:sz w:val="21"/>
                <w:szCs w:val="21"/>
              </w:rPr>
              <w:t>Task List</w:t>
            </w:r>
          </w:p>
        </w:tc>
        <w:tc>
          <w:tcPr>
            <w:tcW w:w="820" w:type="pct"/>
          </w:tcPr>
          <w:p w:rsidR="00AA3BC3" w:rsidRPr="00ED7836" w:rsidRDefault="00ED7836" w:rsidP="00ED7836">
            <w:pPr>
              <w:rPr>
                <w:sz w:val="21"/>
                <w:szCs w:val="21"/>
              </w:rPr>
            </w:pPr>
            <w:r w:rsidRPr="00ED7836">
              <w:rPr>
                <w:sz w:val="21"/>
                <w:szCs w:val="21"/>
              </w:rPr>
              <w:t>Deadlines</w:t>
            </w:r>
          </w:p>
        </w:tc>
      </w:tr>
      <w:tr w:rsidR="00AA3BC3" w:rsidRPr="00ED7836" w:rsidTr="00ED7836">
        <w:trPr>
          <w:jc w:val="center"/>
        </w:trPr>
        <w:tc>
          <w:tcPr>
            <w:tcW w:w="4180" w:type="pct"/>
            <w:shd w:val="clear" w:color="auto" w:fill="auto"/>
            <w:tcMar>
              <w:left w:w="51" w:type="dxa"/>
            </w:tcMar>
          </w:tcPr>
          <w:p w:rsidR="00AA3BC3" w:rsidRPr="00ED7836" w:rsidRDefault="00AA3BC3" w:rsidP="00ED7836">
            <w:pPr>
              <w:pStyle w:val="ListParagraph"/>
              <w:numPr>
                <w:ilvl w:val="0"/>
                <w:numId w:val="5"/>
              </w:numPr>
              <w:ind w:left="360"/>
              <w:rPr>
                <w:sz w:val="21"/>
                <w:szCs w:val="21"/>
              </w:rPr>
            </w:pPr>
            <w:r w:rsidRPr="00ED7836">
              <w:rPr>
                <w:b/>
                <w:sz w:val="21"/>
                <w:szCs w:val="21"/>
              </w:rPr>
              <w:t>Take the IDI.</w:t>
            </w:r>
            <w:r w:rsidR="009F516D">
              <w:rPr>
                <w:b/>
                <w:sz w:val="21"/>
                <w:szCs w:val="21"/>
              </w:rPr>
              <w:t>*</w:t>
            </w:r>
            <w:r w:rsidRPr="00ED7836">
              <w:rPr>
                <w:sz w:val="21"/>
                <w:szCs w:val="21"/>
              </w:rPr>
              <w:t xml:space="preserve"> </w:t>
            </w:r>
            <w:proofErr w:type="gramStart"/>
            <w:r w:rsidRPr="00ED7836">
              <w:rPr>
                <w:sz w:val="21"/>
                <w:szCs w:val="21"/>
              </w:rPr>
              <w:t>You</w:t>
            </w:r>
            <w:proofErr w:type="gramEnd"/>
            <w:r w:rsidRPr="00ED7836">
              <w:rPr>
                <w:sz w:val="21"/>
                <w:szCs w:val="21"/>
              </w:rPr>
              <w:t xml:space="preserve"> will receive an email with an access code that you can use to log into the IDI website to take the inventory. Note: If you have taken the IDI in the past, please retake it anyway – we need your results to make the group report as accurate as possible. Moreover, we have found that multiple IDI reports/debriefings are beneficial to developing intercultural sensitivity. </w:t>
            </w:r>
            <w:r w:rsidRPr="00ED7836">
              <w:rPr>
                <w:i/>
                <w:sz w:val="21"/>
                <w:szCs w:val="21"/>
              </w:rPr>
              <w:t xml:space="preserve">You must </w:t>
            </w:r>
            <w:r w:rsidR="00C2551D">
              <w:rPr>
                <w:i/>
                <w:sz w:val="21"/>
                <w:szCs w:val="21"/>
              </w:rPr>
              <w:t>take the IDI before September 29</w:t>
            </w:r>
            <w:r w:rsidRPr="00ED7836">
              <w:rPr>
                <w:i/>
                <w:sz w:val="21"/>
                <w:szCs w:val="21"/>
              </w:rPr>
              <w:t>th, 2019 so that a group debriefing video can be created from the results prior to the first IPG workshop on October 1</w:t>
            </w:r>
            <w:r w:rsidRPr="00ED7836">
              <w:rPr>
                <w:i/>
                <w:sz w:val="21"/>
                <w:szCs w:val="21"/>
                <w:vertAlign w:val="superscript"/>
              </w:rPr>
              <w:t>st</w:t>
            </w:r>
            <w:r w:rsidRPr="00ED7836">
              <w:rPr>
                <w:i/>
                <w:sz w:val="21"/>
                <w:szCs w:val="21"/>
              </w:rPr>
              <w:t>.</w:t>
            </w:r>
            <w:r w:rsidRPr="00ED7836">
              <w:rPr>
                <w:sz w:val="21"/>
                <w:szCs w:val="21"/>
              </w:rPr>
              <w:t xml:space="preserve"> Even those not planning to attend the October 1</w:t>
            </w:r>
            <w:r w:rsidRPr="00ED7836">
              <w:rPr>
                <w:sz w:val="21"/>
                <w:szCs w:val="21"/>
                <w:vertAlign w:val="superscript"/>
              </w:rPr>
              <w:t>st</w:t>
            </w:r>
            <w:r w:rsidRPr="00ED7836">
              <w:rPr>
                <w:sz w:val="21"/>
                <w:szCs w:val="21"/>
              </w:rPr>
              <w:t xml:space="preserve"> workshop will</w:t>
            </w:r>
            <w:r w:rsidR="00C2551D">
              <w:rPr>
                <w:sz w:val="21"/>
                <w:szCs w:val="21"/>
              </w:rPr>
              <w:t xml:space="preserve"> need to take the IDI by Sept 29</w:t>
            </w:r>
            <w:r w:rsidRPr="00ED7836">
              <w:rPr>
                <w:sz w:val="21"/>
                <w:szCs w:val="21"/>
                <w:vertAlign w:val="superscript"/>
              </w:rPr>
              <w:t>th</w:t>
            </w:r>
            <w:r w:rsidRPr="00ED7836">
              <w:rPr>
                <w:sz w:val="21"/>
                <w:szCs w:val="21"/>
              </w:rPr>
              <w:t xml:space="preserve"> so that we have complete group results to analyze. </w:t>
            </w:r>
          </w:p>
        </w:tc>
        <w:tc>
          <w:tcPr>
            <w:tcW w:w="820" w:type="pct"/>
          </w:tcPr>
          <w:p w:rsidR="00AA3BC3" w:rsidRPr="00ED7836" w:rsidRDefault="00C2551D" w:rsidP="00AA3BC3">
            <w:pPr>
              <w:rPr>
                <w:sz w:val="21"/>
                <w:szCs w:val="21"/>
              </w:rPr>
            </w:pPr>
            <w:r>
              <w:rPr>
                <w:sz w:val="21"/>
                <w:szCs w:val="21"/>
              </w:rPr>
              <w:t>09/29</w:t>
            </w:r>
            <w:r w:rsidR="00F04ED4" w:rsidRPr="00ED7836">
              <w:rPr>
                <w:sz w:val="21"/>
                <w:szCs w:val="21"/>
              </w:rPr>
              <w:t>/2019</w:t>
            </w:r>
          </w:p>
        </w:tc>
      </w:tr>
      <w:tr w:rsidR="00AA3BC3" w:rsidRPr="00ED7836" w:rsidTr="00ED7836">
        <w:trPr>
          <w:jc w:val="center"/>
        </w:trPr>
        <w:tc>
          <w:tcPr>
            <w:tcW w:w="4180" w:type="pct"/>
            <w:shd w:val="clear" w:color="auto" w:fill="auto"/>
            <w:tcMar>
              <w:left w:w="51" w:type="dxa"/>
            </w:tcMar>
          </w:tcPr>
          <w:p w:rsidR="00AA3BC3" w:rsidRPr="00ED7836" w:rsidRDefault="00AA3BC3" w:rsidP="00ED7836">
            <w:pPr>
              <w:pStyle w:val="ListParagraph"/>
              <w:numPr>
                <w:ilvl w:val="0"/>
                <w:numId w:val="5"/>
              </w:numPr>
              <w:ind w:left="360"/>
              <w:rPr>
                <w:sz w:val="21"/>
                <w:szCs w:val="21"/>
              </w:rPr>
            </w:pPr>
            <w:r w:rsidRPr="00ED7836">
              <w:rPr>
                <w:b/>
                <w:sz w:val="21"/>
                <w:szCs w:val="21"/>
              </w:rPr>
              <w:t xml:space="preserve">Read </w:t>
            </w:r>
            <w:r w:rsidR="00ED7836">
              <w:rPr>
                <w:b/>
                <w:sz w:val="21"/>
                <w:szCs w:val="21"/>
              </w:rPr>
              <w:t>assigned documents on</w:t>
            </w:r>
            <w:r w:rsidRPr="00ED7836">
              <w:rPr>
                <w:b/>
                <w:sz w:val="21"/>
                <w:szCs w:val="21"/>
              </w:rPr>
              <w:t xml:space="preserve"> IPG BlackBoard site.</w:t>
            </w:r>
            <w:r w:rsidRPr="00ED7836">
              <w:rPr>
                <w:sz w:val="21"/>
                <w:szCs w:val="21"/>
              </w:rPr>
              <w:t xml:space="preserve"> If you do not have access to this site, please email Dr. Daniel Jones at </w:t>
            </w:r>
            <w:hyperlink r:id="rId7" w:history="1">
              <w:r w:rsidRPr="00ED7836">
                <w:rPr>
                  <w:rStyle w:val="Hyperlink"/>
                  <w:rFonts w:cs="Arial"/>
                  <w:sz w:val="21"/>
                  <w:szCs w:val="21"/>
                </w:rPr>
                <w:t>dcjones@purdue.edu</w:t>
              </w:r>
            </w:hyperlink>
            <w:r w:rsidRPr="00ED7836">
              <w:rPr>
                <w:sz w:val="21"/>
                <w:szCs w:val="21"/>
              </w:rPr>
              <w:t xml:space="preserve"> to be added.</w:t>
            </w:r>
          </w:p>
        </w:tc>
        <w:tc>
          <w:tcPr>
            <w:tcW w:w="820" w:type="pct"/>
          </w:tcPr>
          <w:p w:rsidR="00AA3BC3" w:rsidRPr="00ED7836" w:rsidRDefault="00AA3BC3" w:rsidP="00AA3BC3">
            <w:pPr>
              <w:rPr>
                <w:sz w:val="21"/>
                <w:szCs w:val="21"/>
              </w:rPr>
            </w:pPr>
            <w:r w:rsidRPr="00ED7836">
              <w:rPr>
                <w:sz w:val="21"/>
                <w:szCs w:val="21"/>
              </w:rPr>
              <w:t>Before attending Workshop #1</w:t>
            </w:r>
          </w:p>
        </w:tc>
      </w:tr>
      <w:tr w:rsidR="00AA3BC3" w:rsidRPr="00ED7836" w:rsidTr="00ED7836">
        <w:trPr>
          <w:jc w:val="center"/>
        </w:trPr>
        <w:tc>
          <w:tcPr>
            <w:tcW w:w="4180" w:type="pct"/>
            <w:shd w:val="clear" w:color="auto" w:fill="auto"/>
            <w:tcMar>
              <w:left w:w="51" w:type="dxa"/>
            </w:tcMar>
          </w:tcPr>
          <w:p w:rsidR="00AA3BC3" w:rsidRPr="00ED7836" w:rsidRDefault="00AA3BC3" w:rsidP="00ED7836">
            <w:pPr>
              <w:pStyle w:val="ListParagraph"/>
              <w:numPr>
                <w:ilvl w:val="0"/>
                <w:numId w:val="5"/>
              </w:numPr>
              <w:ind w:left="360"/>
              <w:rPr>
                <w:sz w:val="21"/>
                <w:szCs w:val="21"/>
              </w:rPr>
            </w:pPr>
            <w:r w:rsidRPr="00ED7836">
              <w:rPr>
                <w:b/>
                <w:sz w:val="21"/>
                <w:szCs w:val="21"/>
              </w:rPr>
              <w:t xml:space="preserve">Complete the post-reading Qualtrics </w:t>
            </w:r>
            <w:r w:rsidR="00F04ED4" w:rsidRPr="00ED7836">
              <w:rPr>
                <w:b/>
                <w:sz w:val="21"/>
                <w:szCs w:val="21"/>
              </w:rPr>
              <w:t>Quiz:</w:t>
            </w:r>
            <w:r w:rsidRPr="00ED7836">
              <w:rPr>
                <w:sz w:val="21"/>
                <w:szCs w:val="21"/>
              </w:rPr>
              <w:t xml:space="preserve"> either the multiple-choice or short response quiz.</w:t>
            </w:r>
          </w:p>
        </w:tc>
        <w:tc>
          <w:tcPr>
            <w:tcW w:w="820" w:type="pct"/>
          </w:tcPr>
          <w:p w:rsidR="00AA3BC3" w:rsidRPr="00ED7836" w:rsidRDefault="00AA3BC3" w:rsidP="00AA3BC3">
            <w:pPr>
              <w:rPr>
                <w:sz w:val="21"/>
                <w:szCs w:val="21"/>
              </w:rPr>
            </w:pPr>
            <w:r w:rsidRPr="00ED7836">
              <w:rPr>
                <w:sz w:val="21"/>
                <w:szCs w:val="21"/>
              </w:rPr>
              <w:t>Before attending Workshop #1</w:t>
            </w:r>
          </w:p>
        </w:tc>
      </w:tr>
      <w:tr w:rsidR="00410E10" w:rsidRPr="00ED7836" w:rsidTr="00ED7836">
        <w:trPr>
          <w:jc w:val="center"/>
        </w:trPr>
        <w:tc>
          <w:tcPr>
            <w:tcW w:w="4180" w:type="pct"/>
            <w:shd w:val="clear" w:color="auto" w:fill="auto"/>
            <w:tcMar>
              <w:left w:w="51" w:type="dxa"/>
            </w:tcMar>
          </w:tcPr>
          <w:p w:rsidR="00410E10" w:rsidRPr="00ED7836" w:rsidRDefault="00410E10" w:rsidP="00ED7836">
            <w:pPr>
              <w:pStyle w:val="ListParagraph"/>
              <w:numPr>
                <w:ilvl w:val="0"/>
                <w:numId w:val="5"/>
              </w:numPr>
              <w:ind w:left="360"/>
              <w:rPr>
                <w:b/>
                <w:sz w:val="21"/>
                <w:szCs w:val="21"/>
              </w:rPr>
            </w:pPr>
            <w:r w:rsidRPr="00ED7836">
              <w:rPr>
                <w:b/>
                <w:sz w:val="21"/>
                <w:szCs w:val="21"/>
              </w:rPr>
              <w:t>View IDI Group debriefing video</w:t>
            </w:r>
          </w:p>
          <w:p w:rsidR="00410E10" w:rsidRPr="00ED7836" w:rsidRDefault="00410E10" w:rsidP="00ED7836">
            <w:pPr>
              <w:pStyle w:val="ListParagraph"/>
              <w:ind w:left="360"/>
              <w:rPr>
                <w:sz w:val="21"/>
                <w:szCs w:val="21"/>
              </w:rPr>
            </w:pPr>
            <w:r w:rsidRPr="00ED7836">
              <w:rPr>
                <w:sz w:val="21"/>
                <w:szCs w:val="21"/>
              </w:rPr>
              <w:t>See BlackBoard for link</w:t>
            </w:r>
            <w:r w:rsidR="00DC7840" w:rsidRPr="00ED7836">
              <w:rPr>
                <w:sz w:val="21"/>
                <w:szCs w:val="21"/>
              </w:rPr>
              <w:t>.</w:t>
            </w:r>
          </w:p>
        </w:tc>
        <w:tc>
          <w:tcPr>
            <w:tcW w:w="820" w:type="pct"/>
          </w:tcPr>
          <w:p w:rsidR="00410E10" w:rsidRPr="00ED7836" w:rsidRDefault="00410E10" w:rsidP="00AA3BC3">
            <w:pPr>
              <w:rPr>
                <w:sz w:val="21"/>
                <w:szCs w:val="21"/>
              </w:rPr>
            </w:pPr>
            <w:r w:rsidRPr="00ED7836">
              <w:rPr>
                <w:sz w:val="21"/>
                <w:szCs w:val="21"/>
              </w:rPr>
              <w:t>Before attending Workshop #2</w:t>
            </w:r>
          </w:p>
        </w:tc>
      </w:tr>
      <w:tr w:rsidR="00AA3BC3" w:rsidRPr="00ED7836" w:rsidTr="00ED7836">
        <w:trPr>
          <w:jc w:val="center"/>
        </w:trPr>
        <w:tc>
          <w:tcPr>
            <w:tcW w:w="4180" w:type="pct"/>
            <w:shd w:val="clear" w:color="auto" w:fill="auto"/>
            <w:tcMar>
              <w:left w:w="51" w:type="dxa"/>
            </w:tcMar>
          </w:tcPr>
          <w:p w:rsidR="00AA3BC3" w:rsidRPr="00ED7836" w:rsidRDefault="00AA3BC3" w:rsidP="00ED7836">
            <w:pPr>
              <w:pStyle w:val="ListParagraph"/>
              <w:numPr>
                <w:ilvl w:val="0"/>
                <w:numId w:val="5"/>
              </w:numPr>
              <w:ind w:left="360"/>
              <w:rPr>
                <w:bCs/>
                <w:sz w:val="21"/>
                <w:szCs w:val="21"/>
              </w:rPr>
            </w:pPr>
            <w:r w:rsidRPr="00ED7836">
              <w:rPr>
                <w:b/>
                <w:bCs/>
                <w:sz w:val="21"/>
                <w:szCs w:val="21"/>
              </w:rPr>
              <w:t>Schedule an individual debriefing for your IDI</w:t>
            </w:r>
            <w:r w:rsidR="00BA5A0F" w:rsidRPr="00ED7836">
              <w:rPr>
                <w:b/>
                <w:bCs/>
                <w:sz w:val="21"/>
                <w:szCs w:val="21"/>
              </w:rPr>
              <w:t xml:space="preserve"> to be held before December 4th</w:t>
            </w:r>
            <w:r w:rsidRPr="00ED7836">
              <w:rPr>
                <w:b/>
                <w:bCs/>
                <w:sz w:val="21"/>
                <w:szCs w:val="21"/>
              </w:rPr>
              <w:t>.</w:t>
            </w:r>
            <w:r w:rsidRPr="00ED7836">
              <w:rPr>
                <w:bCs/>
                <w:sz w:val="21"/>
                <w:szCs w:val="21"/>
              </w:rPr>
              <w:t xml:space="preserve"> Log onto </w:t>
            </w:r>
            <w:hyperlink r:id="rId8" w:history="1">
              <w:r w:rsidRPr="00ED7836">
                <w:rPr>
                  <w:rStyle w:val="Hyperlink"/>
                  <w:sz w:val="21"/>
                  <w:szCs w:val="21"/>
                </w:rPr>
                <w:t>https://ippu.mywconline.com/register.php</w:t>
              </w:r>
            </w:hyperlink>
            <w:r w:rsidRPr="00ED7836">
              <w:rPr>
                <w:sz w:val="21"/>
                <w:szCs w:val="21"/>
              </w:rPr>
              <w:t xml:space="preserve"> </w:t>
            </w:r>
            <w:r w:rsidRPr="00ED7836">
              <w:rPr>
                <w:bCs/>
                <w:sz w:val="21"/>
                <w:szCs w:val="21"/>
              </w:rPr>
              <w:t>and register an account. Choose a time for your debriefing. You will receive a confirmation email and a reminder. Your IDI debriefing must be scheduled, but not necessarily completed by Workshop #1</w:t>
            </w:r>
            <w:r w:rsidR="00F04ED4" w:rsidRPr="00ED7836">
              <w:rPr>
                <w:bCs/>
                <w:sz w:val="21"/>
                <w:szCs w:val="21"/>
              </w:rPr>
              <w:t>.</w:t>
            </w:r>
          </w:p>
        </w:tc>
        <w:tc>
          <w:tcPr>
            <w:tcW w:w="820" w:type="pct"/>
          </w:tcPr>
          <w:p w:rsidR="00AA3BC3" w:rsidRPr="00ED7836" w:rsidRDefault="00CD14DF" w:rsidP="00AA3BC3">
            <w:pPr>
              <w:rPr>
                <w:bCs/>
                <w:sz w:val="21"/>
                <w:szCs w:val="21"/>
              </w:rPr>
            </w:pPr>
            <w:r w:rsidRPr="00ED7836">
              <w:rPr>
                <w:bCs/>
                <w:sz w:val="21"/>
                <w:szCs w:val="21"/>
              </w:rPr>
              <w:t>Appointment scheduled by Oct 4</w:t>
            </w:r>
            <w:r w:rsidR="00BA5A0F" w:rsidRPr="00ED7836">
              <w:rPr>
                <w:bCs/>
                <w:sz w:val="21"/>
                <w:szCs w:val="21"/>
                <w:vertAlign w:val="superscript"/>
              </w:rPr>
              <w:t>th</w:t>
            </w:r>
            <w:r w:rsidR="006F0487" w:rsidRPr="00ED7836">
              <w:rPr>
                <w:bCs/>
                <w:sz w:val="21"/>
                <w:szCs w:val="21"/>
              </w:rPr>
              <w:t xml:space="preserve"> </w:t>
            </w:r>
          </w:p>
        </w:tc>
      </w:tr>
      <w:tr w:rsidR="00AA3BC3" w:rsidRPr="00ED7836" w:rsidTr="00ED7836">
        <w:trPr>
          <w:jc w:val="center"/>
        </w:trPr>
        <w:tc>
          <w:tcPr>
            <w:tcW w:w="4180" w:type="pct"/>
            <w:shd w:val="clear" w:color="auto" w:fill="auto"/>
            <w:tcMar>
              <w:left w:w="51" w:type="dxa"/>
            </w:tcMar>
          </w:tcPr>
          <w:p w:rsidR="00AA3BC3" w:rsidRPr="00ED7836" w:rsidRDefault="000279CA" w:rsidP="00ED7836">
            <w:pPr>
              <w:pStyle w:val="ListParagraph"/>
              <w:numPr>
                <w:ilvl w:val="0"/>
                <w:numId w:val="5"/>
              </w:numPr>
              <w:ind w:left="360"/>
              <w:rPr>
                <w:sz w:val="21"/>
                <w:szCs w:val="21"/>
              </w:rPr>
            </w:pPr>
            <w:r w:rsidRPr="00ED7836">
              <w:rPr>
                <w:b/>
                <w:sz w:val="21"/>
                <w:szCs w:val="21"/>
              </w:rPr>
              <w:t>Review your IDI debriefing documents</w:t>
            </w:r>
            <w:r w:rsidR="00AA3BC3" w:rsidRPr="00ED7836">
              <w:rPr>
                <w:b/>
                <w:sz w:val="21"/>
                <w:szCs w:val="21"/>
              </w:rPr>
              <w:t>.</w:t>
            </w:r>
            <w:r w:rsidR="00AA3BC3" w:rsidRPr="00ED7836">
              <w:rPr>
                <w:sz w:val="21"/>
                <w:szCs w:val="21"/>
              </w:rPr>
              <w:t xml:space="preserve"> When you receive your reminder of your IDI debriefing appointment, </w:t>
            </w:r>
            <w:r w:rsidRPr="00ED7836">
              <w:rPr>
                <w:sz w:val="21"/>
                <w:szCs w:val="21"/>
              </w:rPr>
              <w:t>you will receive your results as an attachment. Please read each document</w:t>
            </w:r>
            <w:r w:rsidR="00AA3BC3" w:rsidRPr="00ED7836">
              <w:rPr>
                <w:sz w:val="21"/>
                <w:szCs w:val="21"/>
              </w:rPr>
              <w:t xml:space="preserve"> carefully befo</w:t>
            </w:r>
            <w:r w:rsidRPr="00ED7836">
              <w:rPr>
                <w:sz w:val="21"/>
                <w:szCs w:val="21"/>
              </w:rPr>
              <w:t xml:space="preserve">re your individual debriefing. If for some reason you do not receive these as an attachment, contact </w:t>
            </w:r>
            <w:hyperlink r:id="rId9" w:history="1">
              <w:r w:rsidRPr="00ED7836">
                <w:rPr>
                  <w:rStyle w:val="Hyperlink"/>
                  <w:sz w:val="21"/>
                  <w:szCs w:val="21"/>
                </w:rPr>
                <w:t>cilmar@purdue.edu</w:t>
              </w:r>
            </w:hyperlink>
            <w:r w:rsidRPr="00ED7836">
              <w:rPr>
                <w:sz w:val="21"/>
                <w:szCs w:val="21"/>
              </w:rPr>
              <w:t xml:space="preserve">. </w:t>
            </w:r>
          </w:p>
        </w:tc>
        <w:tc>
          <w:tcPr>
            <w:tcW w:w="820" w:type="pct"/>
          </w:tcPr>
          <w:p w:rsidR="00AA3BC3" w:rsidRPr="00ED7836" w:rsidRDefault="00AA3BC3" w:rsidP="00ED7836">
            <w:pPr>
              <w:rPr>
                <w:sz w:val="21"/>
                <w:szCs w:val="21"/>
              </w:rPr>
            </w:pPr>
            <w:r w:rsidRPr="00ED7836">
              <w:rPr>
                <w:sz w:val="21"/>
                <w:szCs w:val="21"/>
              </w:rPr>
              <w:t>Before individual debriefing appointment</w:t>
            </w:r>
          </w:p>
        </w:tc>
      </w:tr>
      <w:tr w:rsidR="009F516D" w:rsidRPr="00ED7836" w:rsidTr="00ED7836">
        <w:trPr>
          <w:jc w:val="center"/>
        </w:trPr>
        <w:tc>
          <w:tcPr>
            <w:tcW w:w="4180" w:type="pct"/>
            <w:shd w:val="clear" w:color="auto" w:fill="auto"/>
            <w:tcMar>
              <w:left w:w="51" w:type="dxa"/>
            </w:tcMar>
          </w:tcPr>
          <w:p w:rsidR="009F516D" w:rsidRPr="00ED7836" w:rsidRDefault="009F516D" w:rsidP="009F516D">
            <w:pPr>
              <w:pStyle w:val="ListParagraph"/>
              <w:numPr>
                <w:ilvl w:val="0"/>
                <w:numId w:val="5"/>
              </w:numPr>
              <w:ind w:left="360"/>
              <w:rPr>
                <w:b/>
                <w:sz w:val="21"/>
                <w:szCs w:val="21"/>
              </w:rPr>
            </w:pPr>
            <w:r>
              <w:rPr>
                <w:b/>
                <w:sz w:val="21"/>
                <w:szCs w:val="21"/>
              </w:rPr>
              <w:t xml:space="preserve">Reporting your Individual IDI Debrief. </w:t>
            </w:r>
            <w:r>
              <w:rPr>
                <w:sz w:val="21"/>
                <w:szCs w:val="21"/>
              </w:rPr>
              <w:t>Once you have completed your individual IDI debrief you will need to return to the Pre-Workshop page on BlackBoard to access this Assignment link. There you will be able to submit the details of your appointment: Debriefer, Date, time of appointment.</w:t>
            </w:r>
          </w:p>
        </w:tc>
        <w:tc>
          <w:tcPr>
            <w:tcW w:w="820" w:type="pct"/>
          </w:tcPr>
          <w:p w:rsidR="009F516D" w:rsidRPr="00ED7836" w:rsidRDefault="009F516D" w:rsidP="00ED7836">
            <w:pPr>
              <w:rPr>
                <w:sz w:val="21"/>
                <w:szCs w:val="21"/>
              </w:rPr>
            </w:pPr>
            <w:r>
              <w:rPr>
                <w:sz w:val="21"/>
                <w:szCs w:val="21"/>
              </w:rPr>
              <w:t>Following</w:t>
            </w:r>
            <w:r w:rsidRPr="00ED7836">
              <w:rPr>
                <w:sz w:val="21"/>
                <w:szCs w:val="21"/>
              </w:rPr>
              <w:t xml:space="preserve"> individual debriefing appointment</w:t>
            </w:r>
          </w:p>
        </w:tc>
      </w:tr>
    </w:tbl>
    <w:p w:rsidR="00AA3BC3" w:rsidRPr="00A76573" w:rsidRDefault="00AA3BC3" w:rsidP="00AA3BC3">
      <w:pPr>
        <w:rPr>
          <w:rFonts w:cs="Arial"/>
        </w:rPr>
      </w:pPr>
    </w:p>
    <w:p w:rsidR="009F516D" w:rsidRDefault="009F516D" w:rsidP="00AA3BC3">
      <w:pPr>
        <w:rPr>
          <w:rFonts w:cs="Arial"/>
        </w:rPr>
      </w:pPr>
    </w:p>
    <w:p w:rsidR="009F516D" w:rsidRDefault="009F516D" w:rsidP="00AA3BC3">
      <w:pPr>
        <w:rPr>
          <w:rFonts w:cs="Arial"/>
        </w:rPr>
      </w:pPr>
    </w:p>
    <w:p w:rsidR="00AA3BC3" w:rsidRPr="00A76573" w:rsidRDefault="00AA3BC3" w:rsidP="00AA3BC3">
      <w:pPr>
        <w:rPr>
          <w:rFonts w:cs="Arial"/>
          <w:b/>
        </w:rPr>
      </w:pPr>
      <w:r w:rsidRPr="00A76573">
        <w:rPr>
          <w:rFonts w:cs="Arial"/>
        </w:rPr>
        <w:lastRenderedPageBreak/>
        <w:t>*</w:t>
      </w:r>
      <w:r w:rsidRPr="00A76573">
        <w:rPr>
          <w:rFonts w:cs="Arial"/>
          <w:b/>
        </w:rPr>
        <w:t>Statement of Confidentiality</w:t>
      </w:r>
    </w:p>
    <w:p w:rsidR="00AA3BC3" w:rsidRPr="00A76573" w:rsidRDefault="00AA3BC3" w:rsidP="00AA3BC3">
      <w:pPr>
        <w:pStyle w:val="TableContents"/>
        <w:rPr>
          <w:rFonts w:ascii="Myriad Pro" w:hAnsi="Myriad Pro" w:cs="Arial"/>
          <w:sz w:val="22"/>
          <w:szCs w:val="22"/>
        </w:rPr>
      </w:pPr>
    </w:p>
    <w:p w:rsidR="00AA3BC3" w:rsidRPr="00A76573" w:rsidRDefault="00AA3BC3" w:rsidP="00AA3BC3">
      <w:pPr>
        <w:pStyle w:val="TableContents"/>
        <w:rPr>
          <w:rFonts w:ascii="Myriad Pro" w:hAnsi="Myriad Pro" w:cs="Arial"/>
          <w:sz w:val="22"/>
          <w:szCs w:val="22"/>
        </w:rPr>
      </w:pPr>
      <w:r w:rsidRPr="00A76573">
        <w:rPr>
          <w:rFonts w:ascii="Myriad Pro" w:hAnsi="Myriad Pro" w:cs="Arial"/>
          <w:sz w:val="22"/>
          <w:szCs w:val="22"/>
        </w:rPr>
        <w:t>With respect to the Intercultural Development Inventory, Purdue faculty who have done this training in the past have told us that they benefitted from taking it in three ways:</w:t>
      </w:r>
    </w:p>
    <w:p w:rsidR="00AA3BC3" w:rsidRPr="00A76573" w:rsidRDefault="00AA3BC3" w:rsidP="00AA3BC3">
      <w:pPr>
        <w:pStyle w:val="TableContents"/>
        <w:rPr>
          <w:rFonts w:ascii="Myriad Pro" w:hAnsi="Myriad Pro" w:cs="Arial"/>
          <w:sz w:val="22"/>
          <w:szCs w:val="22"/>
        </w:rPr>
      </w:pPr>
    </w:p>
    <w:p w:rsidR="00AA3BC3" w:rsidRPr="00A76573" w:rsidRDefault="00AA3BC3" w:rsidP="00AA3BC3">
      <w:pPr>
        <w:pStyle w:val="TableContents"/>
        <w:numPr>
          <w:ilvl w:val="0"/>
          <w:numId w:val="3"/>
        </w:numPr>
        <w:rPr>
          <w:rFonts w:ascii="Myriad Pro" w:hAnsi="Myriad Pro" w:cs="Arial"/>
          <w:sz w:val="22"/>
          <w:szCs w:val="22"/>
        </w:rPr>
      </w:pPr>
      <w:r w:rsidRPr="00A76573">
        <w:rPr>
          <w:rFonts w:ascii="Myriad Pro" w:hAnsi="Myriad Pro" w:cs="Arial"/>
          <w:sz w:val="22"/>
          <w:szCs w:val="22"/>
        </w:rPr>
        <w:t>Understanding the use of the IDI as a predictive tool for the different ways that students respond to their study abroad environment as a learning opportunity.</w:t>
      </w:r>
    </w:p>
    <w:p w:rsidR="00AA3BC3" w:rsidRPr="00A76573" w:rsidRDefault="00AA3BC3" w:rsidP="00AA3BC3">
      <w:pPr>
        <w:pStyle w:val="TableContents"/>
        <w:numPr>
          <w:ilvl w:val="0"/>
          <w:numId w:val="3"/>
        </w:numPr>
        <w:rPr>
          <w:rFonts w:ascii="Myriad Pro" w:hAnsi="Myriad Pro" w:cs="Arial"/>
          <w:sz w:val="22"/>
          <w:szCs w:val="22"/>
        </w:rPr>
      </w:pPr>
      <w:r w:rsidRPr="00A76573">
        <w:rPr>
          <w:rFonts w:ascii="Myriad Pro" w:hAnsi="Myriad Pro" w:cs="Arial"/>
          <w:sz w:val="22"/>
          <w:szCs w:val="22"/>
        </w:rPr>
        <w:t>Understanding how to mentor students more effectively in cross-cultural situations.</w:t>
      </w:r>
    </w:p>
    <w:p w:rsidR="00AA3BC3" w:rsidRPr="00A76573" w:rsidRDefault="00AA3BC3" w:rsidP="00AA3BC3">
      <w:pPr>
        <w:pStyle w:val="TableContents"/>
        <w:numPr>
          <w:ilvl w:val="0"/>
          <w:numId w:val="3"/>
        </w:numPr>
        <w:rPr>
          <w:rFonts w:ascii="Myriad Pro" w:hAnsi="Myriad Pro" w:cs="Arial"/>
          <w:sz w:val="22"/>
          <w:szCs w:val="22"/>
        </w:rPr>
      </w:pPr>
      <w:r w:rsidRPr="00A76573">
        <w:rPr>
          <w:rFonts w:ascii="Myriad Pro" w:hAnsi="Myriad Pro" w:cs="Arial"/>
          <w:sz w:val="22"/>
          <w:szCs w:val="22"/>
        </w:rPr>
        <w:t>Understanding what the research on intercultural learning is telling us.</w:t>
      </w:r>
    </w:p>
    <w:p w:rsidR="00AA3BC3" w:rsidRPr="00A76573" w:rsidRDefault="00A76573" w:rsidP="00A76573">
      <w:pPr>
        <w:pStyle w:val="TableContents"/>
        <w:tabs>
          <w:tab w:val="left" w:pos="1815"/>
        </w:tabs>
        <w:rPr>
          <w:rFonts w:ascii="Myriad Pro" w:hAnsi="Myriad Pro" w:cs="Arial"/>
          <w:sz w:val="22"/>
          <w:szCs w:val="22"/>
        </w:rPr>
      </w:pPr>
      <w:r>
        <w:rPr>
          <w:rFonts w:ascii="Myriad Pro" w:hAnsi="Myriad Pro" w:cs="Arial"/>
          <w:sz w:val="22"/>
          <w:szCs w:val="22"/>
        </w:rPr>
        <w:tab/>
      </w:r>
    </w:p>
    <w:p w:rsidR="00AA3BC3" w:rsidRPr="00A76573" w:rsidRDefault="00AA3BC3" w:rsidP="00AA3BC3">
      <w:pPr>
        <w:pStyle w:val="TableContents"/>
        <w:rPr>
          <w:rFonts w:ascii="Myriad Pro" w:hAnsi="Myriad Pro" w:cs="Arial"/>
          <w:b/>
          <w:sz w:val="22"/>
          <w:szCs w:val="22"/>
        </w:rPr>
      </w:pPr>
      <w:r w:rsidRPr="00A76573">
        <w:rPr>
          <w:rFonts w:ascii="Myriad Pro" w:hAnsi="Myriad Pro" w:cs="Arial"/>
          <w:b/>
          <w:sz w:val="22"/>
          <w:szCs w:val="22"/>
        </w:rPr>
        <w:t>We want to be particularly clear that Purdue is not using this tool for assessment of YOU!  Your individual results will be available only to you and to the person you choose to be your debriefer; they are entirely confidential.  No deans or department head or tenure committee members will have access to your individual results.</w:t>
      </w:r>
    </w:p>
    <w:p w:rsidR="00AA3BC3" w:rsidRPr="00A76573" w:rsidRDefault="00AA3BC3" w:rsidP="00AA3BC3">
      <w:pPr>
        <w:pStyle w:val="TableContents"/>
        <w:rPr>
          <w:rFonts w:ascii="Myriad Pro" w:hAnsi="Myriad Pro" w:cs="Arial"/>
          <w:b/>
          <w:sz w:val="22"/>
          <w:szCs w:val="22"/>
        </w:rPr>
      </w:pPr>
    </w:p>
    <w:p w:rsidR="00E40581" w:rsidRPr="00A76573" w:rsidRDefault="00AA3BC3" w:rsidP="00AA3BC3">
      <w:pPr>
        <w:pStyle w:val="TableContents"/>
        <w:rPr>
          <w:rFonts w:ascii="Myriad Pro" w:hAnsi="Myriad Pro" w:cs="Arial"/>
          <w:sz w:val="22"/>
          <w:szCs w:val="22"/>
        </w:rPr>
      </w:pPr>
      <w:r w:rsidRPr="00A76573">
        <w:rPr>
          <w:rFonts w:ascii="Myriad Pro" w:hAnsi="Myriad Pro" w:cs="Arial"/>
          <w:sz w:val="22"/>
          <w:szCs w:val="22"/>
        </w:rPr>
        <w:t xml:space="preserve">Every Qualified Administrator of the IDI has signed, as part of </w:t>
      </w:r>
      <w:r w:rsidR="00F4659C" w:rsidRPr="00A76573">
        <w:rPr>
          <w:rFonts w:ascii="Myriad Pro" w:hAnsi="Myriad Pro" w:cs="Arial"/>
          <w:sz w:val="22"/>
          <w:szCs w:val="22"/>
        </w:rPr>
        <w:t>the</w:t>
      </w:r>
      <w:r w:rsidRPr="00A76573">
        <w:rPr>
          <w:rFonts w:ascii="Myriad Pro" w:hAnsi="Myriad Pro" w:cs="Arial"/>
          <w:sz w:val="22"/>
          <w:szCs w:val="22"/>
        </w:rPr>
        <w:t xml:space="preserve"> certification process, a statement of professional ethics and confidentiality. Most Purdue QAs who provide debriefings are also FERPA-trained and CITI-trained.  We note, however, that the IDI is a professional development assessment tool, not unlike taking the Myers-Briggs or the </w:t>
      </w:r>
      <w:proofErr w:type="spellStart"/>
      <w:r w:rsidRPr="00A76573">
        <w:rPr>
          <w:rFonts w:ascii="Myriad Pro" w:hAnsi="Myriad Pro" w:cs="Arial"/>
          <w:sz w:val="22"/>
          <w:szCs w:val="22"/>
        </w:rPr>
        <w:t>Str</w:t>
      </w:r>
      <w:bookmarkStart w:id="0" w:name="_GoBack"/>
      <w:bookmarkEnd w:id="0"/>
      <w:r w:rsidRPr="00A76573">
        <w:rPr>
          <w:rFonts w:ascii="Myriad Pro" w:hAnsi="Myriad Pro" w:cs="Arial"/>
          <w:sz w:val="22"/>
          <w:szCs w:val="22"/>
        </w:rPr>
        <w:t>engthfinders</w:t>
      </w:r>
      <w:proofErr w:type="spellEnd"/>
      <w:r w:rsidRPr="00A76573">
        <w:rPr>
          <w:rFonts w:ascii="Myriad Pro" w:hAnsi="Myriad Pro" w:cs="Arial"/>
          <w:sz w:val="22"/>
          <w:szCs w:val="22"/>
        </w:rPr>
        <w:t>.</w:t>
      </w:r>
    </w:p>
    <w:sectPr w:rsidR="00E40581" w:rsidRPr="00A76573" w:rsidSect="00ED7836">
      <w:headerReference w:type="default" r:id="rId10"/>
      <w:footerReference w:type="default" r:id="rId11"/>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D" w:rsidRDefault="009F633D" w:rsidP="009F633D">
      <w:r>
        <w:separator/>
      </w:r>
    </w:p>
  </w:endnote>
  <w:endnote w:type="continuationSeparator" w:id="0">
    <w:p w:rsidR="009F633D" w:rsidRDefault="009F633D" w:rsidP="009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DengXian Light">
    <w:altName w:val="等线 Light"/>
    <w:panose1 w:val="00000000000000000000"/>
    <w:charset w:val="86"/>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594810"/>
      <w:docPartObj>
        <w:docPartGallery w:val="Page Numbers (Bottom of Page)"/>
        <w:docPartUnique/>
      </w:docPartObj>
    </w:sdtPr>
    <w:sdtEndPr>
      <w:rPr>
        <w:noProof/>
        <w:color w:val="FFFFFF" w:themeColor="background1"/>
      </w:rPr>
    </w:sdtEndPr>
    <w:sdtContent>
      <w:p w:rsidR="008A5A0A" w:rsidRPr="008A5A0A" w:rsidRDefault="008A5A0A" w:rsidP="0081752C">
        <w:pPr>
          <w:pStyle w:val="Footer"/>
          <w:tabs>
            <w:tab w:val="clear" w:pos="9360"/>
          </w:tabs>
          <w:jc w:val="right"/>
          <w:rPr>
            <w:color w:val="FFFFFF" w:themeColor="background1"/>
          </w:rPr>
        </w:pPr>
        <w:r>
          <w:rPr>
            <w:noProof/>
            <w:lang w:eastAsia="zh-CN"/>
          </w:rPr>
          <w:drawing>
            <wp:anchor distT="0" distB="0" distL="114300" distR="114300" simplePos="0" relativeHeight="251665408" behindDoc="1" locked="0" layoutInCell="1" allowOverlap="1" wp14:anchorId="1B440931" wp14:editId="1C216A21">
              <wp:simplePos x="0" y="0"/>
              <wp:positionH relativeFrom="page">
                <wp:align>right</wp:align>
              </wp:positionH>
              <wp:positionV relativeFrom="paragraph">
                <wp:posOffset>-127635</wp:posOffset>
              </wp:positionV>
              <wp:extent cx="3053219" cy="428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ilmar email dark gray right.png"/>
                      <pic:cNvPicPr/>
                    </pic:nvPicPr>
                    <pic:blipFill>
                      <a:blip r:embed="rId1">
                        <a:extLst>
                          <a:ext uri="{28A0092B-C50C-407E-A947-70E740481C1C}">
                            <a14:useLocalDpi xmlns:a14="http://schemas.microsoft.com/office/drawing/2010/main" val="0"/>
                          </a:ext>
                        </a:extLst>
                      </a:blip>
                      <a:stretch>
                        <a:fillRect/>
                      </a:stretch>
                    </pic:blipFill>
                    <pic:spPr>
                      <a:xfrm>
                        <a:off x="0" y="0"/>
                        <a:ext cx="3053219" cy="428625"/>
                      </a:xfrm>
                      <a:prstGeom prst="rect">
                        <a:avLst/>
                      </a:prstGeom>
                    </pic:spPr>
                  </pic:pic>
                </a:graphicData>
              </a:graphic>
            </wp:anchor>
          </w:drawing>
        </w:r>
        <w:r w:rsidRPr="008A5A0A">
          <w:rPr>
            <w:color w:val="FFFFFF" w:themeColor="background1"/>
          </w:rPr>
          <w:fldChar w:fldCharType="begin"/>
        </w:r>
        <w:r w:rsidRPr="008A5A0A">
          <w:rPr>
            <w:color w:val="FFFFFF" w:themeColor="background1"/>
          </w:rPr>
          <w:instrText xml:space="preserve"> PAGE   \* MERGEFORMAT </w:instrText>
        </w:r>
        <w:r w:rsidRPr="008A5A0A">
          <w:rPr>
            <w:color w:val="FFFFFF" w:themeColor="background1"/>
          </w:rPr>
          <w:fldChar w:fldCharType="separate"/>
        </w:r>
        <w:r w:rsidR="009F516D">
          <w:rPr>
            <w:noProof/>
            <w:color w:val="FFFFFF" w:themeColor="background1"/>
          </w:rPr>
          <w:t>2</w:t>
        </w:r>
        <w:r w:rsidRPr="008A5A0A">
          <w:rPr>
            <w:noProof/>
            <w:color w:val="FFFFFF" w:themeColor="background1"/>
          </w:rPr>
          <w:fldChar w:fldCharType="end"/>
        </w:r>
      </w:p>
    </w:sdtContent>
  </w:sdt>
  <w:p w:rsidR="008A5A0A" w:rsidRDefault="008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D" w:rsidRDefault="009F633D" w:rsidP="009F633D">
      <w:r>
        <w:separator/>
      </w:r>
    </w:p>
  </w:footnote>
  <w:footnote w:type="continuationSeparator" w:id="0">
    <w:p w:rsidR="009F633D" w:rsidRDefault="009F633D" w:rsidP="009F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C3" w:rsidRDefault="00A72BBE">
    <w:pPr>
      <w:pStyle w:val="Header"/>
    </w:pPr>
    <w:r>
      <w:rPr>
        <w:noProof/>
        <w:lang w:eastAsia="zh-CN"/>
      </w:rPr>
      <w:drawing>
        <wp:anchor distT="0" distB="0" distL="114300" distR="114300" simplePos="0" relativeHeight="251660288" behindDoc="1" locked="0" layoutInCell="1" allowOverlap="1">
          <wp:simplePos x="0" y="0"/>
          <wp:positionH relativeFrom="page">
            <wp:align>left</wp:align>
          </wp:positionH>
          <wp:positionV relativeFrom="paragraph">
            <wp:posOffset>-171450</wp:posOffset>
          </wp:positionV>
          <wp:extent cx="2228215" cy="723900"/>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MAR on gray.png"/>
                  <pic:cNvPicPr/>
                </pic:nvPicPr>
                <pic:blipFill>
                  <a:blip r:embed="rId1">
                    <a:extLst>
                      <a:ext uri="{28A0092B-C50C-407E-A947-70E740481C1C}">
                        <a14:useLocalDpi xmlns:a14="http://schemas.microsoft.com/office/drawing/2010/main" val="0"/>
                      </a:ext>
                    </a:extLst>
                  </a:blip>
                  <a:stretch>
                    <a:fillRect/>
                  </a:stretch>
                </pic:blipFill>
                <pic:spPr>
                  <a:xfrm>
                    <a:off x="0" y="0"/>
                    <a:ext cx="2228215" cy="723900"/>
                  </a:xfrm>
                  <a:prstGeom prst="rect">
                    <a:avLst/>
                  </a:prstGeom>
                </pic:spPr>
              </pic:pic>
            </a:graphicData>
          </a:graphic>
          <wp14:sizeRelH relativeFrom="margin">
            <wp14:pctWidth>0</wp14:pctWidth>
          </wp14:sizeRelH>
          <wp14:sizeRelV relativeFrom="margin">
            <wp14:pctHeight>0</wp14:pctHeight>
          </wp14:sizeRelV>
        </wp:anchor>
      </w:drawing>
    </w:r>
    <w:r w:rsidR="00AA3BC3">
      <w:rPr>
        <w:noProof/>
        <w:lang w:eastAsia="zh-CN"/>
      </w:rPr>
      <mc:AlternateContent>
        <mc:Choice Requires="wps">
          <w:drawing>
            <wp:anchor distT="0" distB="0" distL="114300" distR="114300" simplePos="0" relativeHeight="251658239" behindDoc="1" locked="0" layoutInCell="1" allowOverlap="1" wp14:anchorId="1FE6EAFF" wp14:editId="78D2068F">
              <wp:simplePos x="0" y="0"/>
              <wp:positionH relativeFrom="page">
                <wp:posOffset>0</wp:posOffset>
              </wp:positionH>
              <wp:positionV relativeFrom="paragraph">
                <wp:posOffset>-445135</wp:posOffset>
              </wp:positionV>
              <wp:extent cx="671830" cy="10031095"/>
              <wp:effectExtent l="0" t="0" r="0" b="8255"/>
              <wp:wrapNone/>
              <wp:docPr id="12" name="Rectangle 12"/>
              <wp:cNvGraphicFramePr/>
              <a:graphic xmlns:a="http://schemas.openxmlformats.org/drawingml/2006/main">
                <a:graphicData uri="http://schemas.microsoft.com/office/word/2010/wordprocessingShape">
                  <wps:wsp>
                    <wps:cNvSpPr/>
                    <wps:spPr>
                      <a:xfrm>
                        <a:off x="0" y="0"/>
                        <a:ext cx="671830" cy="10031095"/>
                      </a:xfrm>
                      <a:prstGeom prst="rect">
                        <a:avLst/>
                      </a:prstGeom>
                      <a:solidFill>
                        <a:srgbClr val="E3C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133CA" id="Rectangle 12" o:spid="_x0000_s1026" style="position:absolute;margin-left:0;margin-top:-35.05pt;width:52.9pt;height:78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" fillcolor="#e3c066" stroked="f" strokeweight="1pt">
              <w10:wrap anchorx="page"/>
            </v:rect>
          </w:pict>
        </mc:Fallback>
      </mc:AlternateContent>
    </w:r>
    <w:r w:rsidR="00AA3BC3">
      <w:rPr>
        <w:noProof/>
        <w:lang w:eastAsia="zh-CN"/>
      </w:rPr>
      <w:drawing>
        <wp:anchor distT="0" distB="0" distL="114300" distR="114300" simplePos="0" relativeHeight="251663360" behindDoc="1" locked="0" layoutInCell="1" allowOverlap="1" wp14:anchorId="54C0B5D5" wp14:editId="000C83D3">
          <wp:simplePos x="0" y="0"/>
          <wp:positionH relativeFrom="column">
            <wp:posOffset>5629275</wp:posOffset>
          </wp:positionH>
          <wp:positionV relativeFrom="paragraph">
            <wp:posOffset>-121285</wp:posOffset>
          </wp:positionV>
          <wp:extent cx="836930" cy="83820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PG ReBranding Color-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838200"/>
                  </a:xfrm>
                  <a:prstGeom prst="rect">
                    <a:avLst/>
                  </a:prstGeom>
                </pic:spPr>
              </pic:pic>
            </a:graphicData>
          </a:graphic>
          <wp14:sizeRelH relativeFrom="margin">
            <wp14:pctWidth>0</wp14:pctWidth>
          </wp14:sizeRelH>
          <wp14:sizeRelV relativeFrom="margin">
            <wp14:pctHeight>0</wp14:pctHeight>
          </wp14:sizeRelV>
        </wp:anchor>
      </w:drawing>
    </w:r>
  </w:p>
  <w:p w:rsidR="00AA3BC3" w:rsidRPr="00ED7836" w:rsidRDefault="00A72BBE" w:rsidP="00ED7836">
    <w:pPr>
      <w:pStyle w:val="Header"/>
    </w:pPr>
    <w:r>
      <w:rPr>
        <w:noProof/>
        <w:lang w:eastAsia="zh-CN"/>
      </w:rPr>
      <w:drawing>
        <wp:anchor distT="0" distB="0" distL="114300" distR="114300" simplePos="0" relativeHeight="251659264" behindDoc="1" locked="0" layoutInCell="1" allowOverlap="1">
          <wp:simplePos x="0" y="0"/>
          <wp:positionH relativeFrom="page">
            <wp:posOffset>-190500</wp:posOffset>
          </wp:positionH>
          <wp:positionV relativeFrom="paragraph">
            <wp:posOffset>292100</wp:posOffset>
          </wp:positionV>
          <wp:extent cx="1851025" cy="6000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white on gray.png"/>
                  <pic:cNvPicPr/>
                </pic:nvPicPr>
                <pic:blipFill>
                  <a:blip r:embed="rId3">
                    <a:extLst>
                      <a:ext uri="{28A0092B-C50C-407E-A947-70E740481C1C}">
                        <a14:useLocalDpi xmlns:a14="http://schemas.microsoft.com/office/drawing/2010/main" val="0"/>
                      </a:ext>
                    </a:extLst>
                  </a:blip>
                  <a:stretch>
                    <a:fillRect/>
                  </a:stretch>
                </pic:blipFill>
                <pic:spPr>
                  <a:xfrm>
                    <a:off x="0" y="0"/>
                    <a:ext cx="1851025" cy="600075"/>
                  </a:xfrm>
                  <a:prstGeom prst="rect">
                    <a:avLst/>
                  </a:prstGeom>
                </pic:spPr>
              </pic:pic>
            </a:graphicData>
          </a:graphic>
          <wp14:sizeRelH relativeFrom="margin">
            <wp14:pctWidth>0</wp14:pctWidth>
          </wp14:sizeRelH>
          <wp14:sizeRelV relativeFrom="margin">
            <wp14:pctHeight>0</wp14:pctHeight>
          </wp14:sizeRelV>
        </wp:anchor>
      </w:drawing>
    </w:r>
  </w:p>
  <w:p w:rsidR="009F633D" w:rsidRDefault="00AA3BC3" w:rsidP="00AA3BC3">
    <w:pPr>
      <w:tabs>
        <w:tab w:val="left" w:pos="7350"/>
      </w:tabs>
      <w:jc w:val="center"/>
      <w:rPr>
        <w:rFonts w:eastAsiaTheme="majorEastAsia" w:cstheme="majorBidi"/>
        <w:color w:val="000000" w:themeColor="text1"/>
        <w:sz w:val="32"/>
        <w:szCs w:val="32"/>
      </w:rPr>
    </w:pPr>
    <w:r w:rsidRPr="00AA3BC3">
      <w:rPr>
        <w:rFonts w:eastAsiaTheme="majorEastAsia" w:cstheme="majorBidi"/>
        <w:color w:val="000000" w:themeColor="text1"/>
        <w:sz w:val="32"/>
        <w:szCs w:val="32"/>
      </w:rPr>
      <w:t xml:space="preserve">Intercultural Pedagogy </w:t>
    </w:r>
    <w:r>
      <w:rPr>
        <w:rFonts w:eastAsiaTheme="majorEastAsia" w:cstheme="majorBidi"/>
        <w:color w:val="000000" w:themeColor="text1"/>
        <w:sz w:val="32"/>
        <w:szCs w:val="32"/>
      </w:rPr>
      <w:t>Grant</w:t>
    </w:r>
  </w:p>
  <w:p w:rsidR="00ED7836" w:rsidRPr="00AA3BC3" w:rsidRDefault="00ED7836" w:rsidP="00ED7836">
    <w:pPr>
      <w:tabs>
        <w:tab w:val="left" w:pos="7350"/>
      </w:tabs>
      <w:jc w:val="center"/>
      <w:rPr>
        <w:rFonts w:eastAsiaTheme="majorEastAsia" w:cstheme="majorBidi"/>
        <w:sz w:val="26"/>
        <w:szCs w:val="26"/>
      </w:rPr>
    </w:pPr>
    <w:r w:rsidRPr="00AA3BC3">
      <w:rPr>
        <w:rFonts w:eastAsiaTheme="majorEastAsia" w:cstheme="majorBidi"/>
        <w:sz w:val="26"/>
        <w:szCs w:val="26"/>
      </w:rPr>
      <w:t>Pre-Workshop</w:t>
    </w:r>
    <w:r>
      <w:rPr>
        <w:rFonts w:eastAsiaTheme="majorEastAsia" w:cstheme="majorBidi"/>
        <w:sz w:val="26"/>
        <w:szCs w:val="26"/>
      </w:rPr>
      <w:t xml:space="preserve"> Task Checklist</w:t>
    </w:r>
  </w:p>
  <w:p w:rsidR="00ED7836" w:rsidRDefault="00ED7836" w:rsidP="00ED7836">
    <w:pPr>
      <w:tabs>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6C28"/>
    <w:multiLevelType w:val="hybridMultilevel"/>
    <w:tmpl w:val="AE78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A4A0D"/>
    <w:multiLevelType w:val="multilevel"/>
    <w:tmpl w:val="1E864B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88B5ED8"/>
    <w:multiLevelType w:val="hybridMultilevel"/>
    <w:tmpl w:val="BE7A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D0D24"/>
    <w:multiLevelType w:val="hybridMultilevel"/>
    <w:tmpl w:val="C0DA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E6FCC"/>
    <w:multiLevelType w:val="hybridMultilevel"/>
    <w:tmpl w:val="71A2E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A"/>
    <w:rsid w:val="000279CA"/>
    <w:rsid w:val="00191B8C"/>
    <w:rsid w:val="001B5B85"/>
    <w:rsid w:val="00335192"/>
    <w:rsid w:val="00410E10"/>
    <w:rsid w:val="00540631"/>
    <w:rsid w:val="006F0487"/>
    <w:rsid w:val="0081752C"/>
    <w:rsid w:val="008A5A0A"/>
    <w:rsid w:val="009A7DF0"/>
    <w:rsid w:val="009F516D"/>
    <w:rsid w:val="009F633D"/>
    <w:rsid w:val="00A72BBE"/>
    <w:rsid w:val="00A76573"/>
    <w:rsid w:val="00AA3BC3"/>
    <w:rsid w:val="00B76896"/>
    <w:rsid w:val="00BA5A0F"/>
    <w:rsid w:val="00C00007"/>
    <w:rsid w:val="00C2551D"/>
    <w:rsid w:val="00CB043A"/>
    <w:rsid w:val="00CD14DF"/>
    <w:rsid w:val="00DB6560"/>
    <w:rsid w:val="00DC7840"/>
    <w:rsid w:val="00E40581"/>
    <w:rsid w:val="00ED7836"/>
    <w:rsid w:val="00F04ED4"/>
    <w:rsid w:val="00F4659C"/>
    <w:rsid w:val="00F8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5B3A52"/>
  <w15:chartTrackingRefBased/>
  <w15:docId w15:val="{57CCA82C-C721-4D21-B0F5-3B8AD90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C3"/>
    <w:pPr>
      <w:spacing w:after="0" w:line="240" w:lineRule="auto"/>
    </w:pPr>
    <w:rPr>
      <w:rFonts w:ascii="Myriad Pro" w:hAnsi="Myriad Pro"/>
    </w:rPr>
  </w:style>
  <w:style w:type="paragraph" w:styleId="Heading1">
    <w:name w:val="heading 1"/>
    <w:basedOn w:val="Normal"/>
    <w:next w:val="Normal"/>
    <w:link w:val="Heading1Char"/>
    <w:autoRedefine/>
    <w:uiPriority w:val="9"/>
    <w:qFormat/>
    <w:rsid w:val="00E40581"/>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E40581"/>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3D"/>
    <w:pPr>
      <w:tabs>
        <w:tab w:val="center" w:pos="4680"/>
        <w:tab w:val="right" w:pos="9360"/>
      </w:tabs>
    </w:pPr>
  </w:style>
  <w:style w:type="character" w:customStyle="1" w:styleId="HeaderChar">
    <w:name w:val="Header Char"/>
    <w:basedOn w:val="DefaultParagraphFont"/>
    <w:link w:val="Header"/>
    <w:uiPriority w:val="99"/>
    <w:rsid w:val="009F633D"/>
  </w:style>
  <w:style w:type="paragraph" w:styleId="Footer">
    <w:name w:val="footer"/>
    <w:basedOn w:val="Normal"/>
    <w:link w:val="FooterChar"/>
    <w:uiPriority w:val="99"/>
    <w:unhideWhenUsed/>
    <w:rsid w:val="009F633D"/>
    <w:pPr>
      <w:tabs>
        <w:tab w:val="center" w:pos="4680"/>
        <w:tab w:val="right" w:pos="9360"/>
      </w:tabs>
    </w:pPr>
  </w:style>
  <w:style w:type="character" w:customStyle="1" w:styleId="FooterChar">
    <w:name w:val="Footer Char"/>
    <w:basedOn w:val="DefaultParagraphFont"/>
    <w:link w:val="Footer"/>
    <w:uiPriority w:val="99"/>
    <w:rsid w:val="009F633D"/>
  </w:style>
  <w:style w:type="character" w:customStyle="1" w:styleId="Heading1Char">
    <w:name w:val="Heading 1 Char"/>
    <w:basedOn w:val="DefaultParagraphFont"/>
    <w:link w:val="Heading1"/>
    <w:uiPriority w:val="9"/>
    <w:rsid w:val="00E40581"/>
    <w:rPr>
      <w:rFonts w:ascii="Myriad Pro" w:eastAsiaTheme="majorEastAsia" w:hAnsi="Myriad Pro" w:cstheme="majorBidi"/>
      <w:color w:val="000000" w:themeColor="text1"/>
      <w:sz w:val="32"/>
      <w:szCs w:val="32"/>
    </w:rPr>
  </w:style>
  <w:style w:type="character" w:customStyle="1" w:styleId="Heading2Char">
    <w:name w:val="Heading 2 Char"/>
    <w:basedOn w:val="DefaultParagraphFont"/>
    <w:link w:val="Heading2"/>
    <w:uiPriority w:val="9"/>
    <w:rsid w:val="00E40581"/>
    <w:rPr>
      <w:rFonts w:ascii="Myriad Pro" w:eastAsiaTheme="majorEastAsia" w:hAnsi="Myriad Pro" w:cstheme="majorBidi"/>
      <w:sz w:val="26"/>
      <w:szCs w:val="26"/>
    </w:rPr>
  </w:style>
  <w:style w:type="paragraph" w:styleId="ListParagraph">
    <w:name w:val="List Paragraph"/>
    <w:basedOn w:val="Normal"/>
    <w:uiPriority w:val="34"/>
    <w:qFormat/>
    <w:rsid w:val="00E40581"/>
    <w:pPr>
      <w:ind w:left="720"/>
      <w:contextualSpacing/>
    </w:pPr>
  </w:style>
  <w:style w:type="paragraph" w:customStyle="1" w:styleId="TextBody">
    <w:name w:val="Text Body"/>
    <w:basedOn w:val="Normal"/>
    <w:rsid w:val="00AA3BC3"/>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customStyle="1" w:styleId="TableContents">
    <w:name w:val="Table Contents"/>
    <w:basedOn w:val="Normal"/>
    <w:rsid w:val="00AA3BC3"/>
    <w:pPr>
      <w:widowControl w:val="0"/>
      <w:suppressLineNumbers/>
      <w:suppressAutoHyphens/>
    </w:pPr>
    <w:rPr>
      <w:rFonts w:ascii="Liberation Serif" w:eastAsia="SimSun" w:hAnsi="Liberation Serif" w:cs="Mangal"/>
      <w:color w:val="00000A"/>
      <w:sz w:val="24"/>
      <w:szCs w:val="24"/>
      <w:lang w:eastAsia="zh-CN" w:bidi="hi-IN"/>
    </w:rPr>
  </w:style>
  <w:style w:type="character" w:styleId="Hyperlink">
    <w:name w:val="Hyperlink"/>
    <w:basedOn w:val="DefaultParagraphFont"/>
    <w:uiPriority w:val="99"/>
    <w:unhideWhenUsed/>
    <w:rsid w:val="00AA3BC3"/>
    <w:rPr>
      <w:color w:val="0563C1" w:themeColor="hyperlink"/>
      <w:u w:val="single"/>
    </w:rPr>
  </w:style>
  <w:style w:type="paragraph" w:styleId="BalloonText">
    <w:name w:val="Balloon Text"/>
    <w:basedOn w:val="Normal"/>
    <w:link w:val="BalloonTextChar"/>
    <w:uiPriority w:val="99"/>
    <w:semiHidden/>
    <w:unhideWhenUsed/>
    <w:rsid w:val="00540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pu.mywconline.com/registe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jones@purdu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lmar@purdu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C</dc:creator>
  <cp:keywords/>
  <dc:description/>
  <cp:lastModifiedBy>Jones, Daniel C</cp:lastModifiedBy>
  <cp:revision>7</cp:revision>
  <cp:lastPrinted>2019-09-04T15:43:00Z</cp:lastPrinted>
  <dcterms:created xsi:type="dcterms:W3CDTF">2019-09-04T20:58:00Z</dcterms:created>
  <dcterms:modified xsi:type="dcterms:W3CDTF">2019-11-14T17:05:00Z</dcterms:modified>
</cp:coreProperties>
</file>